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emin" type="tile"/>
    </v:background>
  </w:background>
  <w:body>
    <w:p w:rsidR="00AB3E56" w:rsidRPr="00C3624D" w:rsidRDefault="00C3624D" w:rsidP="00AB3E56">
      <w:pPr>
        <w:jc w:val="center"/>
        <w:rPr>
          <w:rFonts w:ascii="Algerian" w:hAnsi="Algerian"/>
          <w:sz w:val="72"/>
          <w:szCs w:val="72"/>
        </w:rPr>
      </w:pPr>
      <w:r w:rsidRPr="00C3624D">
        <w:rPr>
          <w:rFonts w:ascii="Algerian" w:hAnsi="Algerian"/>
          <w:sz w:val="72"/>
          <w:szCs w:val="72"/>
        </w:rPr>
        <w:t>Birwhine</w:t>
      </w:r>
    </w:p>
    <w:p w:rsidR="00AB3E56" w:rsidRPr="00C3624D" w:rsidRDefault="00AB3E56" w:rsidP="00AB3E56">
      <w:pPr>
        <w:jc w:val="center"/>
        <w:rPr>
          <w:rFonts w:ascii="Algerian" w:hAnsi="Algerian"/>
          <w:sz w:val="72"/>
          <w:szCs w:val="72"/>
        </w:rPr>
      </w:pPr>
    </w:p>
    <w:p w:rsidR="00AB3E56" w:rsidRPr="00C3624D" w:rsidRDefault="00AB3E56" w:rsidP="00AB3E56">
      <w:pPr>
        <w:jc w:val="center"/>
        <w:rPr>
          <w:rFonts w:ascii="Algerian" w:hAnsi="Algerian"/>
          <w:sz w:val="72"/>
          <w:szCs w:val="72"/>
        </w:rPr>
      </w:pPr>
    </w:p>
    <w:p w:rsidR="00AB3E56" w:rsidRPr="00C3624D" w:rsidRDefault="00AB3E56" w:rsidP="00AB3E56">
      <w:pPr>
        <w:jc w:val="center"/>
        <w:rPr>
          <w:rFonts w:ascii="Algerian" w:hAnsi="Algerian"/>
          <w:sz w:val="72"/>
          <w:szCs w:val="72"/>
        </w:rPr>
      </w:pPr>
    </w:p>
    <w:p w:rsidR="00AB3E56" w:rsidRPr="00C3624D" w:rsidRDefault="00AB3E56" w:rsidP="00AB3E56">
      <w:pPr>
        <w:jc w:val="center"/>
        <w:rPr>
          <w:rFonts w:ascii="Algerian" w:hAnsi="Algerian"/>
          <w:sz w:val="72"/>
          <w:szCs w:val="72"/>
        </w:rPr>
      </w:pPr>
      <w:r w:rsidRPr="00C3624D">
        <w:rPr>
          <w:rFonts w:ascii="Algerian" w:hAnsi="Algerian"/>
          <w:sz w:val="72"/>
          <w:szCs w:val="72"/>
        </w:rPr>
        <w:t xml:space="preserve">Homologation des armes </w:t>
      </w:r>
    </w:p>
    <w:p w:rsidR="00AB3E56" w:rsidRDefault="00AB3E56" w:rsidP="00AB3E56">
      <w:pPr>
        <w:jc w:val="center"/>
        <w:rPr>
          <w:rFonts w:ascii="Algerian" w:hAnsi="Algerian"/>
          <w:sz w:val="72"/>
          <w:szCs w:val="72"/>
        </w:rPr>
      </w:pPr>
    </w:p>
    <w:p w:rsidR="00C3624D" w:rsidRDefault="00C3624D" w:rsidP="00AB3E56">
      <w:pPr>
        <w:jc w:val="center"/>
        <w:rPr>
          <w:rFonts w:ascii="Algerian" w:hAnsi="Algerian"/>
          <w:sz w:val="72"/>
          <w:szCs w:val="72"/>
        </w:rPr>
      </w:pPr>
    </w:p>
    <w:p w:rsidR="00C3624D" w:rsidRDefault="00C3624D" w:rsidP="00AB3E56">
      <w:pPr>
        <w:jc w:val="center"/>
        <w:rPr>
          <w:rFonts w:ascii="Algerian" w:hAnsi="Algerian"/>
          <w:sz w:val="72"/>
          <w:szCs w:val="72"/>
        </w:rPr>
      </w:pPr>
    </w:p>
    <w:p w:rsidR="00C3624D" w:rsidRPr="00C3624D" w:rsidRDefault="00C3624D" w:rsidP="00AB3E56">
      <w:pPr>
        <w:jc w:val="center"/>
        <w:rPr>
          <w:rFonts w:ascii="Algerian" w:hAnsi="Algerian"/>
          <w:sz w:val="72"/>
          <w:szCs w:val="72"/>
        </w:rPr>
      </w:pPr>
      <w:r>
        <w:rPr>
          <w:rFonts w:ascii="Algerian" w:hAnsi="Algerian"/>
          <w:sz w:val="72"/>
          <w:szCs w:val="72"/>
        </w:rPr>
        <w:t xml:space="preserve">Maison des jeunes le </w:t>
      </w:r>
      <w:proofErr w:type="spellStart"/>
      <w:r>
        <w:rPr>
          <w:rFonts w:ascii="Algerian" w:hAnsi="Algerian"/>
          <w:sz w:val="72"/>
          <w:szCs w:val="72"/>
        </w:rPr>
        <w:t>kao</w:t>
      </w:r>
      <w:proofErr w:type="spellEnd"/>
    </w:p>
    <w:p w:rsidR="00AB3E56" w:rsidRPr="00C3624D" w:rsidRDefault="00AB3E56">
      <w:pPr>
        <w:jc w:val="left"/>
        <w:rPr>
          <w:rFonts w:ascii="Algerian" w:hAnsi="Algerian"/>
        </w:rPr>
      </w:pPr>
    </w:p>
    <w:p w:rsidR="00DD3855" w:rsidRDefault="00DD3855" w:rsidP="00DD3855"/>
    <w:sdt>
      <w:sdtPr>
        <w:rPr>
          <w:rFonts w:ascii="Arial" w:eastAsiaTheme="minorHAnsi" w:hAnsi="Arial" w:cstheme="minorBidi"/>
          <w:b w:val="0"/>
          <w:bCs w:val="0"/>
          <w:color w:val="auto"/>
          <w:sz w:val="24"/>
          <w:szCs w:val="22"/>
          <w:lang w:val="fr-FR" w:eastAsia="en-US"/>
        </w:rPr>
        <w:id w:val="-837922348"/>
        <w:docPartObj>
          <w:docPartGallery w:val="Table of Contents"/>
          <w:docPartUnique/>
        </w:docPartObj>
      </w:sdtPr>
      <w:sdtEndPr/>
      <w:sdtContent>
        <w:p w:rsidR="00DD3855" w:rsidRDefault="00DD3855">
          <w:pPr>
            <w:pStyle w:val="En-ttedetabledesmatires"/>
          </w:pPr>
          <w:r>
            <w:rPr>
              <w:lang w:val="fr-FR"/>
            </w:rPr>
            <w:t>Document d’homologation des armes Birwhine</w:t>
          </w:r>
        </w:p>
        <w:p w:rsidR="00E35187" w:rsidRDefault="00DD3855">
          <w:pPr>
            <w:pStyle w:val="TM1"/>
            <w:tabs>
              <w:tab w:val="right" w:leader="dot" w:pos="10070"/>
            </w:tabs>
            <w:rPr>
              <w:rFonts w:asciiTheme="minorHAnsi" w:eastAsiaTheme="minorEastAsia" w:hAnsiTheme="minorHAnsi"/>
              <w:noProof/>
              <w:sz w:val="22"/>
              <w:lang w:eastAsia="fr-CA"/>
            </w:rPr>
          </w:pPr>
          <w:r>
            <w:fldChar w:fldCharType="begin"/>
          </w:r>
          <w:r>
            <w:instrText xml:space="preserve"> TOC \o "1-3" \h \z \u </w:instrText>
          </w:r>
          <w:r>
            <w:fldChar w:fldCharType="separate"/>
          </w:r>
          <w:hyperlink w:anchor="_Toc13141716" w:history="1">
            <w:r w:rsidR="00E35187" w:rsidRPr="000A3BEA">
              <w:rPr>
                <w:rStyle w:val="Lienhypertexte"/>
                <w:noProof/>
              </w:rPr>
              <w:t>Homologation</w:t>
            </w:r>
            <w:r w:rsidR="00E35187">
              <w:rPr>
                <w:noProof/>
                <w:webHidden/>
              </w:rPr>
              <w:tab/>
            </w:r>
            <w:r w:rsidR="00E35187">
              <w:rPr>
                <w:noProof/>
                <w:webHidden/>
              </w:rPr>
              <w:fldChar w:fldCharType="begin"/>
            </w:r>
            <w:r w:rsidR="00E35187">
              <w:rPr>
                <w:noProof/>
                <w:webHidden/>
              </w:rPr>
              <w:instrText xml:space="preserve"> PAGEREF _Toc13141716 \h </w:instrText>
            </w:r>
            <w:r w:rsidR="00E35187">
              <w:rPr>
                <w:noProof/>
                <w:webHidden/>
              </w:rPr>
            </w:r>
            <w:r w:rsidR="00E35187">
              <w:rPr>
                <w:noProof/>
                <w:webHidden/>
              </w:rPr>
              <w:fldChar w:fldCharType="separate"/>
            </w:r>
            <w:r w:rsidR="00E35187">
              <w:rPr>
                <w:noProof/>
                <w:webHidden/>
              </w:rPr>
              <w:t>3</w:t>
            </w:r>
            <w:r w:rsidR="00E35187">
              <w:rPr>
                <w:noProof/>
                <w:webHidden/>
              </w:rPr>
              <w:fldChar w:fldCharType="end"/>
            </w:r>
          </w:hyperlink>
        </w:p>
        <w:p w:rsidR="00E35187" w:rsidRDefault="00F57336">
          <w:pPr>
            <w:pStyle w:val="TM2"/>
            <w:tabs>
              <w:tab w:val="right" w:leader="dot" w:pos="10070"/>
            </w:tabs>
            <w:rPr>
              <w:rFonts w:asciiTheme="minorHAnsi" w:eastAsiaTheme="minorEastAsia" w:hAnsiTheme="minorHAnsi"/>
              <w:noProof/>
              <w:sz w:val="22"/>
              <w:lang w:eastAsia="fr-CA"/>
            </w:rPr>
          </w:pPr>
          <w:hyperlink w:anchor="_Toc13141717" w:history="1">
            <w:r w:rsidR="00E35187" w:rsidRPr="000A3BEA">
              <w:rPr>
                <w:rStyle w:val="Lienhypertexte"/>
                <w:noProof/>
              </w:rPr>
              <w:t>À noter :</w:t>
            </w:r>
            <w:r w:rsidR="00E35187">
              <w:rPr>
                <w:noProof/>
                <w:webHidden/>
              </w:rPr>
              <w:tab/>
            </w:r>
            <w:r w:rsidR="00E35187">
              <w:rPr>
                <w:noProof/>
                <w:webHidden/>
              </w:rPr>
              <w:fldChar w:fldCharType="begin"/>
            </w:r>
            <w:r w:rsidR="00E35187">
              <w:rPr>
                <w:noProof/>
                <w:webHidden/>
              </w:rPr>
              <w:instrText xml:space="preserve"> PAGEREF _Toc13141717 \h </w:instrText>
            </w:r>
            <w:r w:rsidR="00E35187">
              <w:rPr>
                <w:noProof/>
                <w:webHidden/>
              </w:rPr>
            </w:r>
            <w:r w:rsidR="00E35187">
              <w:rPr>
                <w:noProof/>
                <w:webHidden/>
              </w:rPr>
              <w:fldChar w:fldCharType="separate"/>
            </w:r>
            <w:r w:rsidR="00E35187">
              <w:rPr>
                <w:noProof/>
                <w:webHidden/>
              </w:rPr>
              <w:t>3</w:t>
            </w:r>
            <w:r w:rsidR="00E35187">
              <w:rPr>
                <w:noProof/>
                <w:webHidden/>
              </w:rPr>
              <w:fldChar w:fldCharType="end"/>
            </w:r>
          </w:hyperlink>
        </w:p>
        <w:p w:rsidR="00E35187" w:rsidRDefault="00F57336">
          <w:pPr>
            <w:pStyle w:val="TM2"/>
            <w:tabs>
              <w:tab w:val="right" w:leader="dot" w:pos="10070"/>
            </w:tabs>
            <w:rPr>
              <w:rFonts w:asciiTheme="minorHAnsi" w:eastAsiaTheme="minorEastAsia" w:hAnsiTheme="minorHAnsi"/>
              <w:noProof/>
              <w:sz w:val="22"/>
              <w:lang w:eastAsia="fr-CA"/>
            </w:rPr>
          </w:pPr>
          <w:hyperlink w:anchor="_Toc13141718" w:history="1">
            <w:r w:rsidR="00E35187" w:rsidRPr="000A3BEA">
              <w:rPr>
                <w:rStyle w:val="Lienhypertexte"/>
                <w:noProof/>
              </w:rPr>
              <w:t>Armes de mêlées</w:t>
            </w:r>
            <w:r w:rsidR="00E35187">
              <w:rPr>
                <w:noProof/>
                <w:webHidden/>
              </w:rPr>
              <w:tab/>
            </w:r>
            <w:r w:rsidR="00E35187">
              <w:rPr>
                <w:noProof/>
                <w:webHidden/>
              </w:rPr>
              <w:fldChar w:fldCharType="begin"/>
            </w:r>
            <w:r w:rsidR="00E35187">
              <w:rPr>
                <w:noProof/>
                <w:webHidden/>
              </w:rPr>
              <w:instrText xml:space="preserve"> PAGEREF _Toc13141718 \h </w:instrText>
            </w:r>
            <w:r w:rsidR="00E35187">
              <w:rPr>
                <w:noProof/>
                <w:webHidden/>
              </w:rPr>
            </w:r>
            <w:r w:rsidR="00E35187">
              <w:rPr>
                <w:noProof/>
                <w:webHidden/>
              </w:rPr>
              <w:fldChar w:fldCharType="separate"/>
            </w:r>
            <w:r w:rsidR="00E35187">
              <w:rPr>
                <w:noProof/>
                <w:webHidden/>
              </w:rPr>
              <w:t>4</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19" w:history="1">
            <w:r w:rsidR="00E35187" w:rsidRPr="000A3BEA">
              <w:rPr>
                <w:rStyle w:val="Lienhypertexte"/>
                <w:noProof/>
              </w:rPr>
              <w:t>Objets de moins de 20 cm</w:t>
            </w:r>
            <w:r w:rsidR="00E35187">
              <w:rPr>
                <w:noProof/>
                <w:webHidden/>
              </w:rPr>
              <w:tab/>
            </w:r>
            <w:r w:rsidR="00E35187">
              <w:rPr>
                <w:noProof/>
                <w:webHidden/>
              </w:rPr>
              <w:fldChar w:fldCharType="begin"/>
            </w:r>
            <w:r w:rsidR="00E35187">
              <w:rPr>
                <w:noProof/>
                <w:webHidden/>
              </w:rPr>
              <w:instrText xml:space="preserve"> PAGEREF _Toc13141719 \h </w:instrText>
            </w:r>
            <w:r w:rsidR="00E35187">
              <w:rPr>
                <w:noProof/>
                <w:webHidden/>
              </w:rPr>
            </w:r>
            <w:r w:rsidR="00E35187">
              <w:rPr>
                <w:noProof/>
                <w:webHidden/>
              </w:rPr>
              <w:fldChar w:fldCharType="separate"/>
            </w:r>
            <w:r w:rsidR="00E35187">
              <w:rPr>
                <w:noProof/>
                <w:webHidden/>
              </w:rPr>
              <w:t>4</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0" w:history="1">
            <w:r w:rsidR="00E35187" w:rsidRPr="000A3BEA">
              <w:rPr>
                <w:rStyle w:val="Lienhypertexte"/>
                <w:noProof/>
              </w:rPr>
              <w:t>Armes sans squelette</w:t>
            </w:r>
            <w:r w:rsidR="00E35187">
              <w:rPr>
                <w:noProof/>
                <w:webHidden/>
              </w:rPr>
              <w:tab/>
            </w:r>
            <w:r w:rsidR="00E35187">
              <w:rPr>
                <w:noProof/>
                <w:webHidden/>
              </w:rPr>
              <w:fldChar w:fldCharType="begin"/>
            </w:r>
            <w:r w:rsidR="00E35187">
              <w:rPr>
                <w:noProof/>
                <w:webHidden/>
              </w:rPr>
              <w:instrText xml:space="preserve"> PAGEREF _Toc13141720 \h </w:instrText>
            </w:r>
            <w:r w:rsidR="00E35187">
              <w:rPr>
                <w:noProof/>
                <w:webHidden/>
              </w:rPr>
            </w:r>
            <w:r w:rsidR="00E35187">
              <w:rPr>
                <w:noProof/>
                <w:webHidden/>
              </w:rPr>
              <w:fldChar w:fldCharType="separate"/>
            </w:r>
            <w:r w:rsidR="00E35187">
              <w:rPr>
                <w:noProof/>
                <w:webHidden/>
              </w:rPr>
              <w:t>4</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1" w:history="1">
            <w:r w:rsidR="00E35187" w:rsidRPr="000A3BEA">
              <w:rPr>
                <w:rStyle w:val="Lienhypertexte"/>
                <w:noProof/>
              </w:rPr>
              <w:t>Armes avec squelette</w:t>
            </w:r>
            <w:r w:rsidR="00E35187">
              <w:rPr>
                <w:noProof/>
                <w:webHidden/>
              </w:rPr>
              <w:tab/>
            </w:r>
            <w:r w:rsidR="00E35187">
              <w:rPr>
                <w:noProof/>
                <w:webHidden/>
              </w:rPr>
              <w:fldChar w:fldCharType="begin"/>
            </w:r>
            <w:r w:rsidR="00E35187">
              <w:rPr>
                <w:noProof/>
                <w:webHidden/>
              </w:rPr>
              <w:instrText xml:space="preserve"> PAGEREF _Toc13141721 \h </w:instrText>
            </w:r>
            <w:r w:rsidR="00E35187">
              <w:rPr>
                <w:noProof/>
                <w:webHidden/>
              </w:rPr>
            </w:r>
            <w:r w:rsidR="00E35187">
              <w:rPr>
                <w:noProof/>
                <w:webHidden/>
              </w:rPr>
              <w:fldChar w:fldCharType="separate"/>
            </w:r>
            <w:r w:rsidR="00E35187">
              <w:rPr>
                <w:noProof/>
                <w:webHidden/>
              </w:rPr>
              <w:t>4</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2" w:history="1">
            <w:r w:rsidR="00E35187" w:rsidRPr="000A3BEA">
              <w:rPr>
                <w:rStyle w:val="Lienhypertexte"/>
                <w:noProof/>
              </w:rPr>
              <w:t>Armes avec squelette (2 mains)</w:t>
            </w:r>
            <w:r w:rsidR="00E35187">
              <w:rPr>
                <w:noProof/>
                <w:webHidden/>
              </w:rPr>
              <w:tab/>
            </w:r>
            <w:r w:rsidR="00E35187">
              <w:rPr>
                <w:noProof/>
                <w:webHidden/>
              </w:rPr>
              <w:fldChar w:fldCharType="begin"/>
            </w:r>
            <w:r w:rsidR="00E35187">
              <w:rPr>
                <w:noProof/>
                <w:webHidden/>
              </w:rPr>
              <w:instrText xml:space="preserve"> PAGEREF _Toc13141722 \h </w:instrText>
            </w:r>
            <w:r w:rsidR="00E35187">
              <w:rPr>
                <w:noProof/>
                <w:webHidden/>
              </w:rPr>
            </w:r>
            <w:r w:rsidR="00E35187">
              <w:rPr>
                <w:noProof/>
                <w:webHidden/>
              </w:rPr>
              <w:fldChar w:fldCharType="separate"/>
            </w:r>
            <w:r w:rsidR="00E35187">
              <w:rPr>
                <w:noProof/>
                <w:webHidden/>
              </w:rPr>
              <w:t>5</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3" w:history="1">
            <w:r w:rsidR="00E35187" w:rsidRPr="000A3BEA">
              <w:rPr>
                <w:rStyle w:val="Lienhypertexte"/>
                <w:noProof/>
              </w:rPr>
              <w:t>Armes d’haste</w:t>
            </w:r>
            <w:r w:rsidR="00E35187">
              <w:rPr>
                <w:noProof/>
                <w:webHidden/>
              </w:rPr>
              <w:tab/>
            </w:r>
            <w:r w:rsidR="00E35187">
              <w:rPr>
                <w:noProof/>
                <w:webHidden/>
              </w:rPr>
              <w:fldChar w:fldCharType="begin"/>
            </w:r>
            <w:r w:rsidR="00E35187">
              <w:rPr>
                <w:noProof/>
                <w:webHidden/>
              </w:rPr>
              <w:instrText xml:space="preserve"> PAGEREF _Toc13141723 \h </w:instrText>
            </w:r>
            <w:r w:rsidR="00E35187">
              <w:rPr>
                <w:noProof/>
                <w:webHidden/>
              </w:rPr>
            </w:r>
            <w:r w:rsidR="00E35187">
              <w:rPr>
                <w:noProof/>
                <w:webHidden/>
              </w:rPr>
              <w:fldChar w:fldCharType="separate"/>
            </w:r>
            <w:r w:rsidR="00E35187">
              <w:rPr>
                <w:noProof/>
                <w:webHidden/>
              </w:rPr>
              <w:t>5</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4" w:history="1">
            <w:r w:rsidR="00E35187" w:rsidRPr="000A3BEA">
              <w:rPr>
                <w:rStyle w:val="Lienhypertexte"/>
                <w:noProof/>
              </w:rPr>
              <w:t>Armes d’estoc (lance)</w:t>
            </w:r>
            <w:r w:rsidR="00E35187">
              <w:rPr>
                <w:noProof/>
                <w:webHidden/>
              </w:rPr>
              <w:tab/>
            </w:r>
            <w:r w:rsidR="00E35187">
              <w:rPr>
                <w:noProof/>
                <w:webHidden/>
              </w:rPr>
              <w:fldChar w:fldCharType="begin"/>
            </w:r>
            <w:r w:rsidR="00E35187">
              <w:rPr>
                <w:noProof/>
                <w:webHidden/>
              </w:rPr>
              <w:instrText xml:space="preserve"> PAGEREF _Toc13141724 \h </w:instrText>
            </w:r>
            <w:r w:rsidR="00E35187">
              <w:rPr>
                <w:noProof/>
                <w:webHidden/>
              </w:rPr>
            </w:r>
            <w:r w:rsidR="00E35187">
              <w:rPr>
                <w:noProof/>
                <w:webHidden/>
              </w:rPr>
              <w:fldChar w:fldCharType="separate"/>
            </w:r>
            <w:r w:rsidR="00E35187">
              <w:rPr>
                <w:noProof/>
                <w:webHidden/>
              </w:rPr>
              <w:t>6</w:t>
            </w:r>
            <w:r w:rsidR="00E35187">
              <w:rPr>
                <w:noProof/>
                <w:webHidden/>
              </w:rPr>
              <w:fldChar w:fldCharType="end"/>
            </w:r>
          </w:hyperlink>
        </w:p>
        <w:p w:rsidR="00E35187" w:rsidRDefault="00F57336">
          <w:pPr>
            <w:pStyle w:val="TM2"/>
            <w:tabs>
              <w:tab w:val="right" w:leader="dot" w:pos="10070"/>
            </w:tabs>
            <w:rPr>
              <w:rFonts w:asciiTheme="minorHAnsi" w:eastAsiaTheme="minorEastAsia" w:hAnsiTheme="minorHAnsi"/>
              <w:noProof/>
              <w:sz w:val="22"/>
              <w:lang w:eastAsia="fr-CA"/>
            </w:rPr>
          </w:pPr>
          <w:hyperlink w:anchor="_Toc13141725" w:history="1">
            <w:r w:rsidR="00E35187" w:rsidRPr="000A3BEA">
              <w:rPr>
                <w:rStyle w:val="Lienhypertexte"/>
                <w:noProof/>
              </w:rPr>
              <w:t>Armes de tir</w:t>
            </w:r>
            <w:r w:rsidR="00E35187">
              <w:rPr>
                <w:noProof/>
                <w:webHidden/>
              </w:rPr>
              <w:tab/>
            </w:r>
            <w:r w:rsidR="00E35187">
              <w:rPr>
                <w:noProof/>
                <w:webHidden/>
              </w:rPr>
              <w:fldChar w:fldCharType="begin"/>
            </w:r>
            <w:r w:rsidR="00E35187">
              <w:rPr>
                <w:noProof/>
                <w:webHidden/>
              </w:rPr>
              <w:instrText xml:space="preserve"> PAGEREF _Toc13141725 \h </w:instrText>
            </w:r>
            <w:r w:rsidR="00E35187">
              <w:rPr>
                <w:noProof/>
                <w:webHidden/>
              </w:rPr>
            </w:r>
            <w:r w:rsidR="00E35187">
              <w:rPr>
                <w:noProof/>
                <w:webHidden/>
              </w:rPr>
              <w:fldChar w:fldCharType="separate"/>
            </w:r>
            <w:r w:rsidR="00E35187">
              <w:rPr>
                <w:noProof/>
                <w:webHidden/>
              </w:rPr>
              <w:t>7</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6" w:history="1">
            <w:r w:rsidR="00E35187" w:rsidRPr="000A3BEA">
              <w:rPr>
                <w:rStyle w:val="Lienhypertexte"/>
                <w:noProof/>
              </w:rPr>
              <w:t>Arc et Arbalète</w:t>
            </w:r>
            <w:r w:rsidR="00E35187">
              <w:rPr>
                <w:noProof/>
                <w:webHidden/>
              </w:rPr>
              <w:tab/>
            </w:r>
            <w:r w:rsidR="00E35187">
              <w:rPr>
                <w:noProof/>
                <w:webHidden/>
              </w:rPr>
              <w:fldChar w:fldCharType="begin"/>
            </w:r>
            <w:r w:rsidR="00E35187">
              <w:rPr>
                <w:noProof/>
                <w:webHidden/>
              </w:rPr>
              <w:instrText xml:space="preserve"> PAGEREF _Toc13141726 \h </w:instrText>
            </w:r>
            <w:r w:rsidR="00E35187">
              <w:rPr>
                <w:noProof/>
                <w:webHidden/>
              </w:rPr>
            </w:r>
            <w:r w:rsidR="00E35187">
              <w:rPr>
                <w:noProof/>
                <w:webHidden/>
              </w:rPr>
              <w:fldChar w:fldCharType="separate"/>
            </w:r>
            <w:r w:rsidR="00E35187">
              <w:rPr>
                <w:noProof/>
                <w:webHidden/>
              </w:rPr>
              <w:t>7</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7" w:history="1">
            <w:r w:rsidR="00E35187" w:rsidRPr="000A3BEA">
              <w:rPr>
                <w:rStyle w:val="Lienhypertexte"/>
                <w:noProof/>
              </w:rPr>
              <w:t>À noter</w:t>
            </w:r>
            <w:r w:rsidR="00E35187">
              <w:rPr>
                <w:noProof/>
                <w:webHidden/>
              </w:rPr>
              <w:tab/>
            </w:r>
            <w:r w:rsidR="00E35187">
              <w:rPr>
                <w:noProof/>
                <w:webHidden/>
              </w:rPr>
              <w:fldChar w:fldCharType="begin"/>
            </w:r>
            <w:r w:rsidR="00E35187">
              <w:rPr>
                <w:noProof/>
                <w:webHidden/>
              </w:rPr>
              <w:instrText xml:space="preserve"> PAGEREF _Toc13141727 \h </w:instrText>
            </w:r>
            <w:r w:rsidR="00E35187">
              <w:rPr>
                <w:noProof/>
                <w:webHidden/>
              </w:rPr>
            </w:r>
            <w:r w:rsidR="00E35187">
              <w:rPr>
                <w:noProof/>
                <w:webHidden/>
              </w:rPr>
              <w:fldChar w:fldCharType="separate"/>
            </w:r>
            <w:r w:rsidR="00E35187">
              <w:rPr>
                <w:noProof/>
                <w:webHidden/>
              </w:rPr>
              <w:t>8</w:t>
            </w:r>
            <w:r w:rsidR="00E35187">
              <w:rPr>
                <w:noProof/>
                <w:webHidden/>
              </w:rPr>
              <w:fldChar w:fldCharType="end"/>
            </w:r>
          </w:hyperlink>
        </w:p>
        <w:p w:rsidR="00E35187" w:rsidRDefault="00F57336">
          <w:pPr>
            <w:pStyle w:val="TM2"/>
            <w:tabs>
              <w:tab w:val="right" w:leader="dot" w:pos="10070"/>
            </w:tabs>
            <w:rPr>
              <w:rFonts w:asciiTheme="minorHAnsi" w:eastAsiaTheme="minorEastAsia" w:hAnsiTheme="minorHAnsi"/>
              <w:noProof/>
              <w:sz w:val="22"/>
              <w:lang w:eastAsia="fr-CA"/>
            </w:rPr>
          </w:pPr>
          <w:hyperlink w:anchor="_Toc13141728" w:history="1">
            <w:r w:rsidR="00E35187" w:rsidRPr="000A3BEA">
              <w:rPr>
                <w:rStyle w:val="Lienhypertexte"/>
                <w:noProof/>
              </w:rPr>
              <w:t>Projectiles</w:t>
            </w:r>
            <w:r w:rsidR="00E35187">
              <w:rPr>
                <w:noProof/>
                <w:webHidden/>
              </w:rPr>
              <w:tab/>
            </w:r>
            <w:r w:rsidR="00E35187">
              <w:rPr>
                <w:noProof/>
                <w:webHidden/>
              </w:rPr>
              <w:fldChar w:fldCharType="begin"/>
            </w:r>
            <w:r w:rsidR="00E35187">
              <w:rPr>
                <w:noProof/>
                <w:webHidden/>
              </w:rPr>
              <w:instrText xml:space="preserve"> PAGEREF _Toc13141728 \h </w:instrText>
            </w:r>
            <w:r w:rsidR="00E35187">
              <w:rPr>
                <w:noProof/>
                <w:webHidden/>
              </w:rPr>
            </w:r>
            <w:r w:rsidR="00E35187">
              <w:rPr>
                <w:noProof/>
                <w:webHidden/>
              </w:rPr>
              <w:fldChar w:fldCharType="separate"/>
            </w:r>
            <w:r w:rsidR="00E35187">
              <w:rPr>
                <w:noProof/>
                <w:webHidden/>
              </w:rPr>
              <w:t>9</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29" w:history="1">
            <w:r w:rsidR="00E35187" w:rsidRPr="000A3BEA">
              <w:rPr>
                <w:rStyle w:val="Lienhypertexte"/>
                <w:noProof/>
              </w:rPr>
              <w:t>Flèches et carreaux</w:t>
            </w:r>
            <w:r w:rsidR="00E35187">
              <w:rPr>
                <w:noProof/>
                <w:webHidden/>
              </w:rPr>
              <w:tab/>
            </w:r>
            <w:r w:rsidR="00E35187">
              <w:rPr>
                <w:noProof/>
                <w:webHidden/>
              </w:rPr>
              <w:fldChar w:fldCharType="begin"/>
            </w:r>
            <w:r w:rsidR="00E35187">
              <w:rPr>
                <w:noProof/>
                <w:webHidden/>
              </w:rPr>
              <w:instrText xml:space="preserve"> PAGEREF _Toc13141729 \h </w:instrText>
            </w:r>
            <w:r w:rsidR="00E35187">
              <w:rPr>
                <w:noProof/>
                <w:webHidden/>
              </w:rPr>
            </w:r>
            <w:r w:rsidR="00E35187">
              <w:rPr>
                <w:noProof/>
                <w:webHidden/>
              </w:rPr>
              <w:fldChar w:fldCharType="separate"/>
            </w:r>
            <w:r w:rsidR="00E35187">
              <w:rPr>
                <w:noProof/>
                <w:webHidden/>
              </w:rPr>
              <w:t>9</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30" w:history="1">
            <w:r w:rsidR="00E35187" w:rsidRPr="000A3BEA">
              <w:rPr>
                <w:rStyle w:val="Lienhypertexte"/>
                <w:noProof/>
              </w:rPr>
              <w:t>Javelines</w:t>
            </w:r>
            <w:r w:rsidR="00E35187">
              <w:rPr>
                <w:noProof/>
                <w:webHidden/>
              </w:rPr>
              <w:tab/>
            </w:r>
            <w:r w:rsidR="00E35187">
              <w:rPr>
                <w:noProof/>
                <w:webHidden/>
              </w:rPr>
              <w:fldChar w:fldCharType="begin"/>
            </w:r>
            <w:r w:rsidR="00E35187">
              <w:rPr>
                <w:noProof/>
                <w:webHidden/>
              </w:rPr>
              <w:instrText xml:space="preserve"> PAGEREF _Toc13141730 \h </w:instrText>
            </w:r>
            <w:r w:rsidR="00E35187">
              <w:rPr>
                <w:noProof/>
                <w:webHidden/>
              </w:rPr>
            </w:r>
            <w:r w:rsidR="00E35187">
              <w:rPr>
                <w:noProof/>
                <w:webHidden/>
              </w:rPr>
              <w:fldChar w:fldCharType="separate"/>
            </w:r>
            <w:r w:rsidR="00E35187">
              <w:rPr>
                <w:noProof/>
                <w:webHidden/>
              </w:rPr>
              <w:t>10</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31" w:history="1">
            <w:r w:rsidR="00E35187" w:rsidRPr="000A3BEA">
              <w:rPr>
                <w:rStyle w:val="Lienhypertexte"/>
                <w:noProof/>
              </w:rPr>
              <w:t>À noter</w:t>
            </w:r>
            <w:r w:rsidR="00E35187">
              <w:rPr>
                <w:noProof/>
                <w:webHidden/>
              </w:rPr>
              <w:tab/>
            </w:r>
            <w:r w:rsidR="00E35187">
              <w:rPr>
                <w:noProof/>
                <w:webHidden/>
              </w:rPr>
              <w:fldChar w:fldCharType="begin"/>
            </w:r>
            <w:r w:rsidR="00E35187">
              <w:rPr>
                <w:noProof/>
                <w:webHidden/>
              </w:rPr>
              <w:instrText xml:space="preserve"> PAGEREF _Toc13141731 \h </w:instrText>
            </w:r>
            <w:r w:rsidR="00E35187">
              <w:rPr>
                <w:noProof/>
                <w:webHidden/>
              </w:rPr>
            </w:r>
            <w:r w:rsidR="00E35187">
              <w:rPr>
                <w:noProof/>
                <w:webHidden/>
              </w:rPr>
              <w:fldChar w:fldCharType="separate"/>
            </w:r>
            <w:r w:rsidR="00E35187">
              <w:rPr>
                <w:noProof/>
                <w:webHidden/>
              </w:rPr>
              <w:t>10</w:t>
            </w:r>
            <w:r w:rsidR="00E35187">
              <w:rPr>
                <w:noProof/>
                <w:webHidden/>
              </w:rPr>
              <w:fldChar w:fldCharType="end"/>
            </w:r>
          </w:hyperlink>
        </w:p>
        <w:p w:rsidR="00E35187" w:rsidRDefault="00F57336">
          <w:pPr>
            <w:pStyle w:val="TM2"/>
            <w:tabs>
              <w:tab w:val="right" w:leader="dot" w:pos="10070"/>
            </w:tabs>
            <w:rPr>
              <w:rFonts w:asciiTheme="minorHAnsi" w:eastAsiaTheme="minorEastAsia" w:hAnsiTheme="minorHAnsi"/>
              <w:noProof/>
              <w:sz w:val="22"/>
              <w:lang w:eastAsia="fr-CA"/>
            </w:rPr>
          </w:pPr>
          <w:hyperlink w:anchor="_Toc13141732" w:history="1">
            <w:r w:rsidR="00E35187" w:rsidRPr="000A3BEA">
              <w:rPr>
                <w:rStyle w:val="Lienhypertexte"/>
                <w:noProof/>
              </w:rPr>
              <w:t>Boucliers</w:t>
            </w:r>
            <w:r w:rsidR="00E35187">
              <w:rPr>
                <w:noProof/>
                <w:webHidden/>
              </w:rPr>
              <w:tab/>
            </w:r>
            <w:r w:rsidR="00E35187">
              <w:rPr>
                <w:noProof/>
                <w:webHidden/>
              </w:rPr>
              <w:fldChar w:fldCharType="begin"/>
            </w:r>
            <w:r w:rsidR="00E35187">
              <w:rPr>
                <w:noProof/>
                <w:webHidden/>
              </w:rPr>
              <w:instrText xml:space="preserve"> PAGEREF _Toc13141732 \h </w:instrText>
            </w:r>
            <w:r w:rsidR="00E35187">
              <w:rPr>
                <w:noProof/>
                <w:webHidden/>
              </w:rPr>
            </w:r>
            <w:r w:rsidR="00E35187">
              <w:rPr>
                <w:noProof/>
                <w:webHidden/>
              </w:rPr>
              <w:fldChar w:fldCharType="separate"/>
            </w:r>
            <w:r w:rsidR="00E35187">
              <w:rPr>
                <w:noProof/>
                <w:webHidden/>
              </w:rPr>
              <w:t>11</w:t>
            </w:r>
            <w:r w:rsidR="00E35187">
              <w:rPr>
                <w:noProof/>
                <w:webHidden/>
              </w:rPr>
              <w:fldChar w:fldCharType="end"/>
            </w:r>
          </w:hyperlink>
        </w:p>
        <w:p w:rsidR="00E35187" w:rsidRDefault="00F57336">
          <w:pPr>
            <w:pStyle w:val="TM3"/>
            <w:tabs>
              <w:tab w:val="right" w:leader="dot" w:pos="10070"/>
            </w:tabs>
            <w:rPr>
              <w:rFonts w:asciiTheme="minorHAnsi" w:eastAsiaTheme="minorEastAsia" w:hAnsiTheme="minorHAnsi"/>
              <w:noProof/>
              <w:sz w:val="22"/>
              <w:lang w:eastAsia="fr-CA"/>
            </w:rPr>
          </w:pPr>
          <w:hyperlink w:anchor="_Toc13141733" w:history="1">
            <w:r w:rsidR="00E35187" w:rsidRPr="000A3BEA">
              <w:rPr>
                <w:rStyle w:val="Lienhypertexte"/>
                <w:noProof/>
              </w:rPr>
              <w:t>Boucliers</w:t>
            </w:r>
            <w:r w:rsidR="00E35187">
              <w:rPr>
                <w:noProof/>
                <w:webHidden/>
              </w:rPr>
              <w:tab/>
            </w:r>
            <w:r w:rsidR="00E35187">
              <w:rPr>
                <w:noProof/>
                <w:webHidden/>
              </w:rPr>
              <w:fldChar w:fldCharType="begin"/>
            </w:r>
            <w:r w:rsidR="00E35187">
              <w:rPr>
                <w:noProof/>
                <w:webHidden/>
              </w:rPr>
              <w:instrText xml:space="preserve"> PAGEREF _Toc13141733 \h </w:instrText>
            </w:r>
            <w:r w:rsidR="00E35187">
              <w:rPr>
                <w:noProof/>
                <w:webHidden/>
              </w:rPr>
            </w:r>
            <w:r w:rsidR="00E35187">
              <w:rPr>
                <w:noProof/>
                <w:webHidden/>
              </w:rPr>
              <w:fldChar w:fldCharType="separate"/>
            </w:r>
            <w:r w:rsidR="00E35187">
              <w:rPr>
                <w:noProof/>
                <w:webHidden/>
              </w:rPr>
              <w:t>11</w:t>
            </w:r>
            <w:r w:rsidR="00E35187">
              <w:rPr>
                <w:noProof/>
                <w:webHidden/>
              </w:rPr>
              <w:fldChar w:fldCharType="end"/>
            </w:r>
          </w:hyperlink>
        </w:p>
        <w:p w:rsidR="00DD3855" w:rsidRDefault="00DD3855">
          <w:r>
            <w:rPr>
              <w:b/>
              <w:bCs/>
              <w:lang w:val="fr-FR"/>
            </w:rPr>
            <w:fldChar w:fldCharType="end"/>
          </w:r>
        </w:p>
      </w:sdtContent>
    </w:sdt>
    <w:p w:rsidR="00DD3855" w:rsidRDefault="00DD3855"/>
    <w:p w:rsidR="00DD3855" w:rsidRDefault="00DD3855">
      <w:r>
        <w:br w:type="page"/>
      </w:r>
    </w:p>
    <w:p w:rsidR="00DD3855" w:rsidRDefault="00DD3855" w:rsidP="005B18F1">
      <w:pPr>
        <w:pStyle w:val="Titre1"/>
      </w:pPr>
      <w:bookmarkStart w:id="0" w:name="_Toc13141716"/>
      <w:r>
        <w:lastRenderedPageBreak/>
        <w:t>Homologation</w:t>
      </w:r>
      <w:bookmarkEnd w:id="0"/>
    </w:p>
    <w:p w:rsidR="00DD3855" w:rsidRPr="00DD3855" w:rsidRDefault="00DD3855" w:rsidP="00DD3855"/>
    <w:p w:rsidR="00DD3855" w:rsidRDefault="00DD3855" w:rsidP="005B18F1">
      <w:pPr>
        <w:ind w:firstLine="708"/>
      </w:pPr>
      <w:r>
        <w:t xml:space="preserve"> Les activités de combat comportent toujours une part de risque même si les armes utilisées sont factices et développées pour ce genre de hobby. Certains points de vérification élémentaires sont obligatoires avant toute activité où les armes sont utilisées afin d’assurer au maximum la sécurité des participants. </w:t>
      </w:r>
    </w:p>
    <w:p w:rsidR="005B18F1" w:rsidRDefault="005B18F1" w:rsidP="005B18F1">
      <w:pPr>
        <w:ind w:firstLine="708"/>
      </w:pPr>
    </w:p>
    <w:p w:rsidR="00DD3855" w:rsidRDefault="00DD3855" w:rsidP="005B18F1">
      <w:pPr>
        <w:ind w:firstLine="708"/>
      </w:pPr>
      <w:r>
        <w:t xml:space="preserve"> Un point d'homologation fixe est prévu à la vérification de l’armement lors de chaque activité. Il est obligatoire pour chaque joueur de présenter ses armes au kiosque d'homologation avant de participer à l’événement. </w:t>
      </w:r>
    </w:p>
    <w:p w:rsidR="005B18F1" w:rsidRDefault="005B18F1" w:rsidP="005B18F1">
      <w:pPr>
        <w:ind w:firstLine="708"/>
      </w:pPr>
    </w:p>
    <w:p w:rsidR="005B18F1" w:rsidRDefault="00DD3855" w:rsidP="005B18F1">
      <w:pPr>
        <w:pStyle w:val="Titre2"/>
      </w:pPr>
      <w:bookmarkStart w:id="1" w:name="_Toc13141717"/>
      <w:r w:rsidRPr="00DD3855">
        <w:t>À noter :</w:t>
      </w:r>
      <w:bookmarkEnd w:id="1"/>
    </w:p>
    <w:p w:rsidR="005B18F1" w:rsidRDefault="005B18F1" w:rsidP="005B18F1">
      <w:pPr>
        <w:pStyle w:val="Titre2"/>
      </w:pPr>
      <w:r>
        <w:t xml:space="preserve"> </w:t>
      </w:r>
      <w:r w:rsidR="00DD3855">
        <w:t xml:space="preserve"> </w:t>
      </w:r>
    </w:p>
    <w:p w:rsidR="005B18F1" w:rsidRPr="005B18F1" w:rsidRDefault="00DD3855" w:rsidP="005B18F1">
      <w:pPr>
        <w:pStyle w:val="Paragraphedeliste"/>
        <w:numPr>
          <w:ilvl w:val="0"/>
          <w:numId w:val="1"/>
        </w:numPr>
      </w:pPr>
      <w:r w:rsidRPr="005B18F1">
        <w:t xml:space="preserve">Toute arme jugée non sécuritaire ou ne respectant pas les standards de sécurité de Birwhine ne sera pas autorisés à </w:t>
      </w:r>
      <w:r w:rsidR="00F42B94">
        <w:t xml:space="preserve">participer au </w:t>
      </w:r>
      <w:proofErr w:type="spellStart"/>
      <w:r w:rsidR="00F42B94">
        <w:t>Gn</w:t>
      </w:r>
      <w:proofErr w:type="spellEnd"/>
      <w:r w:rsidR="00F42B94">
        <w:t xml:space="preserve"> où tournoi avec ces armes</w:t>
      </w:r>
      <w:r w:rsidRPr="005B18F1">
        <w:t>. Tout joueur contrevenant à cette règle peut se voir expulsé de l’activité sur le champ.</w:t>
      </w:r>
    </w:p>
    <w:p w:rsidR="005B18F1" w:rsidRPr="005B18F1" w:rsidRDefault="00FB7DE2" w:rsidP="005B18F1">
      <w:pPr>
        <w:pStyle w:val="Paragraphedeliste"/>
        <w:numPr>
          <w:ilvl w:val="0"/>
          <w:numId w:val="1"/>
        </w:numPr>
      </w:pPr>
      <w:r>
        <w:t xml:space="preserve">Un </w:t>
      </w:r>
      <w:proofErr w:type="spellStart"/>
      <w:r>
        <w:t>homologateur</w:t>
      </w:r>
      <w:proofErr w:type="spellEnd"/>
      <w:r w:rsidR="00DD3855" w:rsidRPr="005B18F1">
        <w:t xml:space="preserve"> peut refuser une arme dont le poids excessif ou mal distribué pourrait comp</w:t>
      </w:r>
      <w:r w:rsidR="005B18F1">
        <w:t xml:space="preserve">orter un risque de sécurité.  </w:t>
      </w:r>
    </w:p>
    <w:p w:rsidR="005B18F1" w:rsidRPr="005B18F1" w:rsidRDefault="00FB7DE2" w:rsidP="005B18F1">
      <w:pPr>
        <w:pStyle w:val="Paragraphedeliste"/>
        <w:numPr>
          <w:ilvl w:val="0"/>
          <w:numId w:val="1"/>
        </w:numPr>
      </w:pPr>
      <w:r>
        <w:t xml:space="preserve">Un </w:t>
      </w:r>
      <w:proofErr w:type="spellStart"/>
      <w:r>
        <w:t>homologateur</w:t>
      </w:r>
      <w:proofErr w:type="spellEnd"/>
      <w:r w:rsidR="00DD3855" w:rsidRPr="005B18F1">
        <w:t xml:space="preserve"> peut refuser une arme dont il ne reconnait pas facilement sont concept </w:t>
      </w:r>
      <w:r w:rsidR="005B18F1">
        <w:t xml:space="preserve">de fabrication ou d’origine.  </w:t>
      </w:r>
    </w:p>
    <w:p w:rsidR="005B18F1" w:rsidRPr="005B18F1" w:rsidRDefault="00DD3855" w:rsidP="005B18F1">
      <w:pPr>
        <w:pStyle w:val="Paragraphedeliste"/>
        <w:numPr>
          <w:ilvl w:val="0"/>
          <w:numId w:val="1"/>
        </w:numPr>
      </w:pPr>
      <w:r w:rsidRPr="005B18F1">
        <w:t>Une arme sécuritaire ne l’est plus si utilisée avec trop de force et sans discernement. Chaque joueur doit se rappeler que c’est la touc</w:t>
      </w:r>
      <w:r w:rsidR="005B18F1">
        <w:t>he qui compte et non sa force.</w:t>
      </w:r>
      <w:r w:rsidRPr="005B18F1">
        <w:t xml:space="preserve"> </w:t>
      </w:r>
    </w:p>
    <w:p w:rsidR="005B18F1" w:rsidRPr="005B18F1" w:rsidRDefault="00DD3855" w:rsidP="005B18F1">
      <w:pPr>
        <w:pStyle w:val="Paragraphedeliste"/>
        <w:numPr>
          <w:ilvl w:val="0"/>
          <w:numId w:val="1"/>
        </w:numPr>
      </w:pPr>
      <w:r w:rsidRPr="005B18F1">
        <w:t>B</w:t>
      </w:r>
      <w:r w:rsidR="005B18F1">
        <w:t>irwhine</w:t>
      </w:r>
      <w:r w:rsidRPr="005B18F1">
        <w:t xml:space="preserve"> utilise le système métrique. Le système impérial est présent </w:t>
      </w:r>
      <w:r w:rsidR="005B18F1">
        <w:t xml:space="preserve">à titre informatif uniquement. </w:t>
      </w:r>
      <w:r w:rsidRPr="005B18F1">
        <w:t xml:space="preserve"> </w:t>
      </w:r>
    </w:p>
    <w:p w:rsidR="005B18F1" w:rsidRDefault="00DD3855" w:rsidP="005B18F1">
      <w:pPr>
        <w:pStyle w:val="Paragraphedeliste"/>
        <w:numPr>
          <w:ilvl w:val="0"/>
          <w:numId w:val="1"/>
        </w:numPr>
      </w:pPr>
      <w:r w:rsidRPr="005B18F1">
        <w:t>Les armes de 152 cm et moins doivent avoir un fini en latex ou en mousse injecté</w:t>
      </w:r>
      <w:r w:rsidR="009B04C9">
        <w:t xml:space="preserve"> et ou </w:t>
      </w:r>
      <w:proofErr w:type="spellStart"/>
      <w:r w:rsidR="009B04C9">
        <w:t>duck</w:t>
      </w:r>
      <w:proofErr w:type="spellEnd"/>
      <w:r w:rsidR="009B04C9">
        <w:t xml:space="preserve"> tape mais en respectant toutes les consignes de sécurité</w:t>
      </w:r>
      <w:r w:rsidRPr="005B18F1">
        <w:t xml:space="preserve">. </w:t>
      </w:r>
    </w:p>
    <w:p w:rsidR="005B18F1" w:rsidRPr="005B18F1" w:rsidRDefault="00DD3855" w:rsidP="005B18F1">
      <w:pPr>
        <w:pStyle w:val="Paragraphedeliste"/>
        <w:numPr>
          <w:ilvl w:val="0"/>
          <w:numId w:val="1"/>
        </w:numPr>
      </w:pPr>
      <w:r w:rsidRPr="005B18F1">
        <w:t>Bi</w:t>
      </w:r>
      <w:r w:rsidR="005B18F1">
        <w:t>rwhine</w:t>
      </w:r>
      <w:r w:rsidRPr="005B18F1">
        <w:t xml:space="preserve"> n’est pas un fabriquant d’arme et n’a pas l’intention de régir et d’expliquer</w:t>
      </w:r>
      <w:r w:rsidR="005B18F1">
        <w:t xml:space="preserve"> comment fabriquer des armes. </w:t>
      </w:r>
    </w:p>
    <w:p w:rsidR="00DD3855" w:rsidRPr="005B18F1" w:rsidRDefault="00DD3855" w:rsidP="005B18F1">
      <w:pPr>
        <w:pStyle w:val="Paragraphedeliste"/>
        <w:numPr>
          <w:ilvl w:val="0"/>
          <w:numId w:val="1"/>
        </w:numPr>
        <w:rPr>
          <w:i/>
        </w:rPr>
      </w:pPr>
      <w:r w:rsidRPr="005B18F1">
        <w:t>Bi</w:t>
      </w:r>
      <w:r w:rsidR="005B18F1">
        <w:t>rwhine</w:t>
      </w:r>
      <w:r w:rsidRPr="005B18F1">
        <w:t xml:space="preserve"> se réserve le droit de retirer toute arme ou tout bouclier sans préavis ni raison.</w:t>
      </w:r>
      <w:r w:rsidRPr="005B18F1">
        <w:rPr>
          <w:i/>
        </w:rPr>
        <w:t xml:space="preserve"> </w:t>
      </w:r>
    </w:p>
    <w:p w:rsidR="00DD3855" w:rsidRDefault="00DD3855" w:rsidP="00DD3855"/>
    <w:p w:rsidR="00DD3855" w:rsidRDefault="00DD3855" w:rsidP="00DD3855">
      <w:r>
        <w:t xml:space="preserve"> </w:t>
      </w:r>
    </w:p>
    <w:p w:rsidR="005B18F1" w:rsidRDefault="005B18F1" w:rsidP="00DD3855">
      <w:pPr>
        <w:pStyle w:val="Titre2"/>
      </w:pPr>
    </w:p>
    <w:p w:rsidR="005B18F1" w:rsidRPr="005B18F1" w:rsidRDefault="005B18F1" w:rsidP="005B18F1"/>
    <w:p w:rsidR="00DD3855" w:rsidRDefault="00DD3855" w:rsidP="0051781C">
      <w:pPr>
        <w:pStyle w:val="Titre2"/>
      </w:pPr>
      <w:bookmarkStart w:id="2" w:name="_Toc13141718"/>
      <w:r>
        <w:lastRenderedPageBreak/>
        <w:t>Armes de mêlées</w:t>
      </w:r>
      <w:bookmarkEnd w:id="2"/>
    </w:p>
    <w:p w:rsidR="00542DB6" w:rsidRDefault="00DD3855" w:rsidP="00DD3855">
      <w:r>
        <w:t xml:space="preserve"> </w:t>
      </w: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542DB6" w:rsidRPr="00542DB6" w:rsidTr="0051781C">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42DB6" w:rsidRPr="00542DB6" w:rsidRDefault="00542DB6" w:rsidP="00E678DB">
            <w:pPr>
              <w:pStyle w:val="Titre3"/>
              <w:rPr>
                <w:rFonts w:eastAsia="Times New Roman" w:cs="Arial"/>
                <w:color w:val="000000"/>
                <w:sz w:val="22"/>
                <w:lang w:eastAsia="fr-CA"/>
              </w:rPr>
            </w:pPr>
            <w:bookmarkStart w:id="3" w:name="_Toc13141719"/>
            <w:r w:rsidRPr="00542DB6">
              <w:t>Objets de moins de 20 cm</w:t>
            </w:r>
            <w:bookmarkEnd w:id="3"/>
            <w:r w:rsidRPr="00542DB6">
              <w:rPr>
                <w:rFonts w:eastAsia="Times New Roman" w:cs="Arial"/>
                <w:color w:val="000000"/>
                <w:sz w:val="22"/>
                <w:lang w:eastAsia="fr-CA"/>
              </w:rPr>
              <w:t> </w:t>
            </w:r>
          </w:p>
        </w:tc>
      </w:tr>
      <w:tr w:rsidR="00542DB6" w:rsidRPr="00542DB6" w:rsidTr="0051781C">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42DB6" w:rsidRDefault="00542DB6" w:rsidP="0051781C">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542DB6" w:rsidRDefault="00542DB6" w:rsidP="00FB7DE2">
            <w:pPr>
              <w:pStyle w:val="Paragraphedeliste"/>
              <w:numPr>
                <w:ilvl w:val="0"/>
                <w:numId w:val="2"/>
              </w:numPr>
              <w:spacing w:before="240"/>
              <w:ind w:left="896" w:right="284" w:hanging="357"/>
            </w:pPr>
            <w:r>
              <w:t>0 à 20 cm (0 à 8”)</w:t>
            </w:r>
          </w:p>
        </w:tc>
      </w:tr>
      <w:tr w:rsidR="00542DB6" w:rsidRPr="00542DB6" w:rsidTr="0051781C">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51781C">
            <w:pPr>
              <w:spacing w:before="240"/>
            </w:pPr>
            <w:r>
              <w:t xml:space="preserve">  </w:t>
            </w:r>
          </w:p>
          <w:p w:rsidR="00542DB6" w:rsidRDefault="00542DB6" w:rsidP="0051781C">
            <w:pPr>
              <w:spacing w:before="240"/>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42DB6" w:rsidP="00FB7DE2">
            <w:pPr>
              <w:pStyle w:val="Paragraphedeliste"/>
              <w:numPr>
                <w:ilvl w:val="0"/>
                <w:numId w:val="2"/>
              </w:numPr>
              <w:spacing w:before="240"/>
              <w:ind w:left="896" w:right="284" w:hanging="357"/>
            </w:pPr>
            <w:r>
              <w:t>Ne font aucun d</w:t>
            </w:r>
            <w:r w:rsidR="0051781C">
              <w:t xml:space="preserve">égât et n’est pas homologable. </w:t>
            </w:r>
          </w:p>
          <w:p w:rsidR="0051781C" w:rsidRDefault="0051781C" w:rsidP="00FB7DE2">
            <w:pPr>
              <w:pStyle w:val="Paragraphedeliste"/>
              <w:numPr>
                <w:ilvl w:val="0"/>
                <w:numId w:val="2"/>
              </w:numPr>
              <w:spacing w:before="240"/>
              <w:ind w:left="896" w:right="284" w:hanging="357"/>
            </w:pPr>
            <w:r>
              <w:t xml:space="preserve">Ne sont pas considérés comme des armes. </w:t>
            </w:r>
          </w:p>
        </w:tc>
      </w:tr>
    </w:tbl>
    <w:p w:rsidR="0051781C" w:rsidRDefault="0051781C" w:rsidP="00DD3855">
      <w:r>
        <w:t xml:space="preserve"> </w:t>
      </w: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51781C"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81C" w:rsidRPr="00542DB6" w:rsidRDefault="0051781C" w:rsidP="00E678DB">
            <w:pPr>
              <w:pStyle w:val="Titre3"/>
              <w:rPr>
                <w:rFonts w:eastAsia="Times New Roman" w:cs="Arial"/>
                <w:color w:val="000000"/>
                <w:sz w:val="22"/>
                <w:lang w:eastAsia="fr-CA"/>
              </w:rPr>
            </w:pPr>
            <w:bookmarkStart w:id="4" w:name="_Toc13141720"/>
            <w:r w:rsidRPr="0051781C">
              <w:t>Armes sans squelette</w:t>
            </w:r>
            <w:bookmarkEnd w:id="4"/>
            <w:r w:rsidRPr="0051781C">
              <w:t xml:space="preserve">  </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51781C">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1781C" w:rsidP="00FB7DE2">
            <w:pPr>
              <w:pStyle w:val="Paragraphedeliste"/>
              <w:numPr>
                <w:ilvl w:val="0"/>
                <w:numId w:val="2"/>
              </w:numPr>
              <w:spacing w:before="240"/>
              <w:ind w:left="896" w:right="284" w:hanging="357"/>
            </w:pPr>
            <w:r>
              <w:t>20 à 40 cm (8 à 16”)</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A42400">
            <w:r>
              <w:t xml:space="preserve">  </w:t>
            </w:r>
          </w:p>
          <w:p w:rsidR="0051781C" w:rsidRDefault="0051781C" w:rsidP="00A42400">
            <w:pPr>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1781C" w:rsidP="00FB7DE2">
            <w:pPr>
              <w:pStyle w:val="Paragraphedeliste"/>
              <w:numPr>
                <w:ilvl w:val="0"/>
                <w:numId w:val="2"/>
              </w:numPr>
              <w:ind w:left="896" w:right="284" w:hanging="357"/>
            </w:pPr>
            <w:r>
              <w:t xml:space="preserve">Doit être constituée de mousse ou de matière molle. </w:t>
            </w:r>
          </w:p>
          <w:p w:rsidR="0051781C" w:rsidRDefault="0051781C" w:rsidP="00FB7DE2">
            <w:pPr>
              <w:pStyle w:val="Paragraphedeliste"/>
              <w:numPr>
                <w:ilvl w:val="0"/>
                <w:numId w:val="2"/>
              </w:numPr>
              <w:ind w:left="896" w:right="284" w:hanging="357"/>
            </w:pPr>
            <w:r>
              <w:t xml:space="preserve">Ne doit pas comporter de parties rigides. </w:t>
            </w:r>
          </w:p>
        </w:tc>
      </w:tr>
    </w:tbl>
    <w:p w:rsidR="00DD3855" w:rsidRDefault="00DD3855" w:rsidP="00DD3855"/>
    <w:tbl>
      <w:tblPr>
        <w:tblW w:w="10126" w:type="dxa"/>
        <w:tblInd w:w="55" w:type="dxa"/>
        <w:tblCellMar>
          <w:left w:w="70" w:type="dxa"/>
          <w:right w:w="70" w:type="dxa"/>
        </w:tblCellMar>
        <w:tblLook w:val="04A0" w:firstRow="1" w:lastRow="0" w:firstColumn="1" w:lastColumn="0" w:noHBand="0" w:noVBand="1"/>
      </w:tblPr>
      <w:tblGrid>
        <w:gridCol w:w="5063"/>
        <w:gridCol w:w="5063"/>
      </w:tblGrid>
      <w:tr w:rsidR="0051781C"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81C" w:rsidRPr="00542DB6" w:rsidRDefault="0051781C" w:rsidP="00E678DB">
            <w:pPr>
              <w:pStyle w:val="Titre3"/>
              <w:rPr>
                <w:rFonts w:eastAsia="Times New Roman" w:cs="Arial"/>
                <w:color w:val="000000"/>
                <w:sz w:val="22"/>
                <w:lang w:eastAsia="fr-CA"/>
              </w:rPr>
            </w:pPr>
            <w:bookmarkStart w:id="5" w:name="_Toc13141721"/>
            <w:r w:rsidRPr="0051781C">
              <w:t>Armes</w:t>
            </w:r>
            <w:r>
              <w:t xml:space="preserve"> avec</w:t>
            </w:r>
            <w:r w:rsidRPr="0051781C">
              <w:t xml:space="preserve"> squelette</w:t>
            </w:r>
            <w:bookmarkEnd w:id="5"/>
            <w:r w:rsidRPr="0051781C">
              <w:t xml:space="preserve">  </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51781C">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1781C" w:rsidP="00FB7DE2">
            <w:pPr>
              <w:pStyle w:val="Paragraphedeliste"/>
              <w:numPr>
                <w:ilvl w:val="0"/>
                <w:numId w:val="2"/>
              </w:numPr>
              <w:spacing w:before="240"/>
              <w:ind w:left="896" w:right="284" w:hanging="357"/>
            </w:pPr>
            <w:r>
              <w:t>20 à 112 cm (8 à 44”)</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51781C">
            <w:pPr>
              <w:spacing w:before="240"/>
            </w:pPr>
            <w:r>
              <w:t xml:space="preserve">  </w:t>
            </w:r>
          </w:p>
          <w:p w:rsidR="0051781C" w:rsidRDefault="0051781C" w:rsidP="0051781C">
            <w:pPr>
              <w:spacing w:before="240"/>
              <w:jc w:val="center"/>
            </w:pPr>
          </w:p>
          <w:p w:rsidR="0051781C" w:rsidRDefault="0051781C" w:rsidP="0051781C">
            <w:pPr>
              <w:spacing w:before="240"/>
              <w:jc w:val="center"/>
            </w:pPr>
          </w:p>
          <w:p w:rsidR="0051781C" w:rsidRDefault="0051781C" w:rsidP="0051781C">
            <w:pPr>
              <w:spacing w:before="240"/>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Pr="009B04C9" w:rsidRDefault="0051781C" w:rsidP="00FB7DE2">
            <w:pPr>
              <w:pStyle w:val="Paragraphedeliste"/>
              <w:numPr>
                <w:ilvl w:val="0"/>
                <w:numId w:val="2"/>
              </w:numPr>
              <w:spacing w:before="240"/>
              <w:ind w:left="896" w:right="284" w:hanging="357"/>
              <w:rPr>
                <w:sz w:val="22"/>
              </w:rPr>
            </w:pPr>
            <w:r w:rsidRPr="009B04C9">
              <w:rPr>
                <w:sz w:val="22"/>
              </w:rPr>
              <w:t xml:space="preserve">Extrémités du squelette sécurisées. </w:t>
            </w:r>
          </w:p>
          <w:p w:rsidR="0051781C" w:rsidRPr="009B04C9" w:rsidRDefault="0051781C" w:rsidP="00FB7DE2">
            <w:pPr>
              <w:pStyle w:val="Paragraphedeliste"/>
              <w:numPr>
                <w:ilvl w:val="0"/>
                <w:numId w:val="2"/>
              </w:numPr>
              <w:spacing w:before="240"/>
              <w:ind w:left="896" w:right="284" w:hanging="357"/>
              <w:rPr>
                <w:sz w:val="22"/>
              </w:rPr>
            </w:pPr>
            <w:r w:rsidRPr="009B04C9">
              <w:rPr>
                <w:sz w:val="22"/>
              </w:rPr>
              <w:t xml:space="preserve">Doit être recouverte de protection de la pointe à la garde. </w:t>
            </w:r>
          </w:p>
          <w:p w:rsidR="0051781C" w:rsidRPr="009B04C9" w:rsidRDefault="0051781C" w:rsidP="00FB7DE2">
            <w:pPr>
              <w:pStyle w:val="Paragraphedeliste"/>
              <w:numPr>
                <w:ilvl w:val="0"/>
                <w:numId w:val="2"/>
              </w:numPr>
              <w:spacing w:before="240"/>
              <w:ind w:left="896" w:right="284" w:hanging="357"/>
              <w:rPr>
                <w:sz w:val="22"/>
              </w:rPr>
            </w:pPr>
            <w:r w:rsidRPr="009B04C9">
              <w:rPr>
                <w:sz w:val="22"/>
              </w:rPr>
              <w:t xml:space="preserve">Pour les armes d’estoque, la pointe doit être rembourrée. </w:t>
            </w:r>
          </w:p>
          <w:p w:rsidR="0051781C" w:rsidRPr="009B04C9" w:rsidRDefault="0051781C" w:rsidP="00FB7DE2">
            <w:pPr>
              <w:pStyle w:val="Paragraphedeliste"/>
              <w:numPr>
                <w:ilvl w:val="0"/>
                <w:numId w:val="2"/>
              </w:numPr>
              <w:spacing w:before="240"/>
              <w:ind w:left="896" w:right="284" w:hanging="357"/>
              <w:rPr>
                <w:sz w:val="22"/>
              </w:rPr>
            </w:pPr>
            <w:r w:rsidRPr="009B04C9">
              <w:rPr>
                <w:sz w:val="22"/>
              </w:rPr>
              <w:t xml:space="preserve">Densité de mousse suffisante pour ne pas sentir le squelette. </w:t>
            </w:r>
          </w:p>
          <w:p w:rsidR="0051781C" w:rsidRDefault="0051781C" w:rsidP="00FB7DE2">
            <w:pPr>
              <w:pStyle w:val="Paragraphedeliste"/>
              <w:numPr>
                <w:ilvl w:val="0"/>
                <w:numId w:val="2"/>
              </w:numPr>
              <w:spacing w:before="240"/>
              <w:ind w:left="896" w:right="284" w:hanging="357"/>
            </w:pPr>
            <w:r w:rsidRPr="009B04C9">
              <w:rPr>
                <w:sz w:val="22"/>
              </w:rPr>
              <w:t>Peut contenir une à deux articulations, pour un espacement total maximum de 12</w:t>
            </w:r>
            <w:r>
              <w:t xml:space="preserve"> cm. (5”) </w:t>
            </w:r>
          </w:p>
        </w:tc>
      </w:tr>
      <w:tr w:rsidR="0051781C"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81C" w:rsidRPr="00542DB6" w:rsidRDefault="0051781C" w:rsidP="00E678DB">
            <w:pPr>
              <w:pStyle w:val="Titre3"/>
              <w:rPr>
                <w:rFonts w:eastAsia="Times New Roman" w:cs="Arial"/>
                <w:color w:val="000000"/>
                <w:sz w:val="22"/>
                <w:lang w:eastAsia="fr-CA"/>
              </w:rPr>
            </w:pPr>
            <w:bookmarkStart w:id="6" w:name="_Toc13141722"/>
            <w:r w:rsidRPr="0051781C">
              <w:lastRenderedPageBreak/>
              <w:t xml:space="preserve">Armes </w:t>
            </w:r>
            <w:r>
              <w:t xml:space="preserve">avec </w:t>
            </w:r>
            <w:r w:rsidRPr="0051781C">
              <w:t xml:space="preserve">squelette </w:t>
            </w:r>
            <w:r w:rsidR="00FB7DE2">
              <w:t>(2 mains)</w:t>
            </w:r>
            <w:bookmarkEnd w:id="6"/>
            <w:r w:rsidRPr="0051781C">
              <w:t xml:space="preserve"> </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A42400">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1781C" w:rsidP="00FB7DE2">
            <w:pPr>
              <w:pStyle w:val="Paragraphedeliste"/>
              <w:numPr>
                <w:ilvl w:val="0"/>
                <w:numId w:val="2"/>
              </w:numPr>
              <w:spacing w:before="240"/>
              <w:ind w:left="896" w:right="284" w:hanging="357"/>
            </w:pPr>
            <w:r>
              <w:t>112 à 152 cm (44 à 60”)</w:t>
            </w:r>
          </w:p>
        </w:tc>
      </w:tr>
      <w:tr w:rsidR="0051781C" w:rsidTr="00E678DB">
        <w:trPr>
          <w:trHeight w:val="1837"/>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A42400">
            <w:r>
              <w:t xml:space="preserve">  </w:t>
            </w:r>
          </w:p>
          <w:p w:rsidR="0051781C" w:rsidRDefault="0051781C" w:rsidP="00A42400">
            <w:pPr>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51781C" w:rsidP="00FB7DE2">
            <w:pPr>
              <w:pStyle w:val="Paragraphedeliste"/>
              <w:numPr>
                <w:ilvl w:val="0"/>
                <w:numId w:val="2"/>
              </w:numPr>
              <w:spacing w:before="240"/>
              <w:ind w:left="896" w:right="284" w:hanging="357"/>
            </w:pPr>
            <w:r>
              <w:t xml:space="preserve">Les mêmes règles que pour les armes avec squelette de 20 à 112 cm (8 à 44”) s’appliquent à l’exception qu’elles ne peuvent contenir d’articulation.  </w:t>
            </w:r>
          </w:p>
        </w:tc>
      </w:tr>
    </w:tbl>
    <w:p w:rsidR="00E678DB" w:rsidRPr="00E678DB" w:rsidRDefault="00E678DB" w:rsidP="00DD3855">
      <w:pPr>
        <w:rPr>
          <w:b/>
        </w:rPr>
      </w:pP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51781C" w:rsidRPr="00E678DB"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1781C" w:rsidRPr="00542DB6" w:rsidRDefault="00E678DB" w:rsidP="00E678DB">
            <w:pPr>
              <w:pStyle w:val="Titre3"/>
              <w:rPr>
                <w:rFonts w:eastAsia="Times New Roman" w:cs="Arial"/>
                <w:color w:val="000000"/>
                <w:sz w:val="22"/>
                <w:lang w:eastAsia="fr-CA"/>
              </w:rPr>
            </w:pPr>
            <w:bookmarkStart w:id="7" w:name="_Toc13141723"/>
            <w:r w:rsidRPr="00E678DB">
              <w:t>Armes d’haste</w:t>
            </w:r>
            <w:bookmarkEnd w:id="7"/>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A42400">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51781C" w:rsidRDefault="00E678DB" w:rsidP="00E678DB">
            <w:pPr>
              <w:pStyle w:val="Paragraphedeliste"/>
              <w:numPr>
                <w:ilvl w:val="0"/>
                <w:numId w:val="2"/>
              </w:numPr>
              <w:spacing w:before="240"/>
            </w:pPr>
            <w:r>
              <w:t>15</w:t>
            </w:r>
            <w:r w:rsidR="0051781C">
              <w:t xml:space="preserve">2 à </w:t>
            </w:r>
            <w:r>
              <w:t>214</w:t>
            </w:r>
            <w:r w:rsidR="0051781C">
              <w:t xml:space="preserve"> cm (</w:t>
            </w:r>
            <w:r>
              <w:t>60</w:t>
            </w:r>
            <w:r w:rsidR="0051781C">
              <w:t xml:space="preserve"> à </w:t>
            </w:r>
            <w:r>
              <w:t>84</w:t>
            </w:r>
            <w:r w:rsidR="0051781C">
              <w:t>”)</w:t>
            </w:r>
          </w:p>
        </w:tc>
      </w:tr>
      <w:tr w:rsidR="0051781C"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51781C" w:rsidRDefault="0051781C" w:rsidP="00A42400">
            <w:r>
              <w:t xml:space="preserve">  </w:t>
            </w:r>
          </w:p>
          <w:p w:rsidR="00E678DB" w:rsidRDefault="00E678DB" w:rsidP="00A42400">
            <w:pPr>
              <w:jc w:val="center"/>
            </w:pPr>
          </w:p>
          <w:p w:rsidR="00E678DB" w:rsidRDefault="00E678DB" w:rsidP="00A42400">
            <w:pPr>
              <w:jc w:val="center"/>
            </w:pPr>
          </w:p>
          <w:p w:rsidR="00E678DB" w:rsidRDefault="00E678DB" w:rsidP="00A42400">
            <w:pPr>
              <w:jc w:val="center"/>
            </w:pPr>
          </w:p>
          <w:p w:rsidR="0051781C" w:rsidRDefault="0051781C" w:rsidP="00A42400">
            <w:pPr>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E678DB" w:rsidRDefault="00E678DB" w:rsidP="00FB7DE2">
            <w:pPr>
              <w:pStyle w:val="Paragraphedeliste"/>
              <w:numPr>
                <w:ilvl w:val="0"/>
                <w:numId w:val="2"/>
              </w:numPr>
              <w:spacing w:before="240"/>
              <w:ind w:left="896" w:right="284" w:hanging="357"/>
            </w:pPr>
            <w:r>
              <w:t xml:space="preserve">Extrémités du squelette sécurisées. </w:t>
            </w:r>
          </w:p>
          <w:p w:rsidR="00E678DB" w:rsidRDefault="00E678DB" w:rsidP="00FB7DE2">
            <w:pPr>
              <w:pStyle w:val="Paragraphedeliste"/>
              <w:numPr>
                <w:ilvl w:val="0"/>
                <w:numId w:val="2"/>
              </w:numPr>
              <w:spacing w:before="240"/>
              <w:ind w:left="896" w:right="284" w:hanging="357"/>
            </w:pPr>
            <w:r>
              <w:t xml:space="preserve">Pointe rembourrée avec finition pour estoc. </w:t>
            </w:r>
          </w:p>
          <w:p w:rsidR="00E678DB" w:rsidRDefault="00E678DB" w:rsidP="00FB7DE2">
            <w:pPr>
              <w:pStyle w:val="Paragraphedeliste"/>
              <w:numPr>
                <w:ilvl w:val="0"/>
                <w:numId w:val="2"/>
              </w:numPr>
              <w:spacing w:before="240"/>
              <w:ind w:left="896" w:right="284" w:hanging="357"/>
            </w:pPr>
            <w:r>
              <w:t xml:space="preserve">Densité de mousse suffisante pour ne pas sentir le squelette. </w:t>
            </w:r>
          </w:p>
          <w:p w:rsidR="00E678DB" w:rsidRDefault="00E678DB" w:rsidP="00FB7DE2">
            <w:pPr>
              <w:pStyle w:val="Paragraphedeliste"/>
              <w:numPr>
                <w:ilvl w:val="0"/>
                <w:numId w:val="2"/>
              </w:numPr>
              <w:spacing w:before="240"/>
              <w:ind w:left="896" w:right="284" w:hanging="357"/>
            </w:pPr>
            <w:r>
              <w:t xml:space="preserve">Un minimum de 90 cm (36”) de protection sous la tête de l’arme. </w:t>
            </w:r>
          </w:p>
          <w:p w:rsidR="00E678DB" w:rsidRDefault="00E678DB" w:rsidP="00FB7DE2">
            <w:pPr>
              <w:pStyle w:val="Paragraphedeliste"/>
              <w:numPr>
                <w:ilvl w:val="0"/>
                <w:numId w:val="2"/>
              </w:numPr>
              <w:spacing w:before="240"/>
              <w:ind w:left="896" w:right="284" w:hanging="357"/>
            </w:pPr>
            <w:r>
              <w:t xml:space="preserve">Base / pommeau protégé(e). </w:t>
            </w:r>
          </w:p>
          <w:p w:rsidR="00E678DB" w:rsidRDefault="00E678DB" w:rsidP="00FB7DE2">
            <w:pPr>
              <w:pStyle w:val="Paragraphedeliste"/>
              <w:numPr>
                <w:ilvl w:val="0"/>
                <w:numId w:val="2"/>
              </w:numPr>
              <w:spacing w:before="240"/>
              <w:ind w:left="896" w:right="284" w:hanging="357"/>
            </w:pPr>
            <w:r>
              <w:t xml:space="preserve">Squelette de l’arme en bambou ou matériel qui ne produit pas d’éclisse.   </w:t>
            </w:r>
          </w:p>
          <w:p w:rsidR="00E678DB" w:rsidRDefault="00E678DB" w:rsidP="00FB7DE2">
            <w:pPr>
              <w:pStyle w:val="Paragraphedeliste"/>
              <w:numPr>
                <w:ilvl w:val="0"/>
                <w:numId w:val="2"/>
              </w:numPr>
              <w:spacing w:before="240"/>
              <w:ind w:left="896" w:right="284" w:hanging="357"/>
            </w:pPr>
            <w:r>
              <w:t xml:space="preserve">Structure suffisamment rigide pour le combat et qui ne fouette pas. </w:t>
            </w:r>
          </w:p>
          <w:p w:rsidR="0051781C" w:rsidRDefault="00E678DB" w:rsidP="00FB7DE2">
            <w:pPr>
              <w:pStyle w:val="Paragraphedeliste"/>
              <w:numPr>
                <w:ilvl w:val="0"/>
                <w:numId w:val="2"/>
              </w:numPr>
              <w:spacing w:before="240"/>
              <w:ind w:left="896" w:right="284" w:hanging="357"/>
            </w:pPr>
            <w:r>
              <w:t>Aucune articulation permise.</w:t>
            </w:r>
          </w:p>
        </w:tc>
      </w:tr>
    </w:tbl>
    <w:p w:rsidR="00DD3855" w:rsidRDefault="00DD3855" w:rsidP="00DD3855"/>
    <w:p w:rsidR="00E678DB" w:rsidRDefault="00E678DB" w:rsidP="00DD3855"/>
    <w:p w:rsidR="00E678DB" w:rsidRDefault="00E678DB" w:rsidP="00DD3855"/>
    <w:p w:rsidR="00E678DB" w:rsidRDefault="00E678DB" w:rsidP="00DD3855"/>
    <w:p w:rsidR="00E678DB" w:rsidRDefault="00E678DB" w:rsidP="00DD3855"/>
    <w:p w:rsidR="00E678DB" w:rsidRDefault="00E678DB" w:rsidP="00DD3855"/>
    <w:tbl>
      <w:tblPr>
        <w:tblW w:w="10126" w:type="dxa"/>
        <w:tblInd w:w="55" w:type="dxa"/>
        <w:tblCellMar>
          <w:left w:w="70" w:type="dxa"/>
          <w:right w:w="70" w:type="dxa"/>
        </w:tblCellMar>
        <w:tblLook w:val="04A0" w:firstRow="1" w:lastRow="0" w:firstColumn="1" w:lastColumn="0" w:noHBand="0" w:noVBand="1"/>
      </w:tblPr>
      <w:tblGrid>
        <w:gridCol w:w="5063"/>
        <w:gridCol w:w="5063"/>
      </w:tblGrid>
      <w:tr w:rsidR="00E678DB"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78DB" w:rsidRPr="00542DB6" w:rsidRDefault="00E678DB" w:rsidP="00E678DB">
            <w:pPr>
              <w:pStyle w:val="Titre3"/>
              <w:rPr>
                <w:rFonts w:eastAsia="Times New Roman" w:cs="Arial"/>
                <w:color w:val="000000"/>
                <w:sz w:val="22"/>
                <w:lang w:eastAsia="fr-CA"/>
              </w:rPr>
            </w:pPr>
            <w:bookmarkStart w:id="8" w:name="_Toc13141724"/>
            <w:r w:rsidRPr="0051781C">
              <w:t xml:space="preserve">Armes </w:t>
            </w:r>
            <w:r>
              <w:t>d’estoc (lance)</w:t>
            </w:r>
            <w:bookmarkEnd w:id="8"/>
          </w:p>
        </w:tc>
      </w:tr>
      <w:tr w:rsidR="00E678DB"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E678DB" w:rsidRDefault="00E678DB" w:rsidP="00FB7DE2">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E678DB" w:rsidRDefault="00E678DB" w:rsidP="00FB7DE2">
            <w:pPr>
              <w:pStyle w:val="Paragraphedeliste"/>
              <w:numPr>
                <w:ilvl w:val="0"/>
                <w:numId w:val="2"/>
              </w:numPr>
              <w:spacing w:before="240"/>
              <w:ind w:left="896" w:right="284" w:hanging="357"/>
            </w:pPr>
            <w:r>
              <w:t>214 à 274 cm (84 à 108”)</w:t>
            </w:r>
          </w:p>
        </w:tc>
      </w:tr>
      <w:tr w:rsidR="00E678DB"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E678DB" w:rsidRDefault="00E678DB" w:rsidP="00FB7DE2">
            <w:pPr>
              <w:spacing w:before="240"/>
            </w:pPr>
            <w:r>
              <w:t xml:space="preserve">  </w:t>
            </w:r>
          </w:p>
          <w:p w:rsidR="00E678DB" w:rsidRDefault="00E678DB" w:rsidP="00FB7DE2">
            <w:pPr>
              <w:spacing w:before="240"/>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E678DB" w:rsidRDefault="00E678DB" w:rsidP="00FB7DE2">
            <w:pPr>
              <w:pStyle w:val="Paragraphedeliste"/>
              <w:numPr>
                <w:ilvl w:val="0"/>
                <w:numId w:val="2"/>
              </w:numPr>
              <w:spacing w:before="240"/>
              <w:ind w:left="896" w:right="284" w:hanging="357"/>
            </w:pPr>
            <w:r>
              <w:t xml:space="preserve">Les mêmes règles que pour les armes d’haste de 152 à 214 cm (60 à 84”) s’appliquent avec les l’exception suivant : </w:t>
            </w:r>
          </w:p>
          <w:p w:rsidR="00E678DB" w:rsidRDefault="00E678DB" w:rsidP="00FB7DE2">
            <w:pPr>
              <w:pStyle w:val="Paragraphedeliste"/>
              <w:numPr>
                <w:ilvl w:val="0"/>
                <w:numId w:val="2"/>
              </w:numPr>
              <w:spacing w:before="240"/>
              <w:ind w:left="896" w:right="284" w:hanging="357"/>
            </w:pPr>
            <w:r>
              <w:t xml:space="preserve">La pointe de la lance doit faire au moins 5 cm (2”) de diamètre. </w:t>
            </w:r>
          </w:p>
          <w:p w:rsidR="00E678DB" w:rsidRDefault="00E678DB" w:rsidP="00FB7DE2">
            <w:pPr>
              <w:pStyle w:val="Paragraphedeliste"/>
              <w:numPr>
                <w:ilvl w:val="0"/>
                <w:numId w:val="2"/>
              </w:numPr>
              <w:spacing w:before="240"/>
              <w:ind w:left="896" w:right="284" w:hanging="357"/>
            </w:pPr>
            <w:r>
              <w:t xml:space="preserve">La pointe de la lance doit se terminer par suffisamment de mousse à cellule ouverte et/ou de mousse injectée pour ne pas sentir le squelette. </w:t>
            </w:r>
          </w:p>
          <w:p w:rsidR="00E678DB" w:rsidRDefault="00E678DB" w:rsidP="00FB7DE2">
            <w:pPr>
              <w:pStyle w:val="Paragraphedeliste"/>
              <w:numPr>
                <w:ilvl w:val="0"/>
                <w:numId w:val="2"/>
              </w:numPr>
              <w:spacing w:before="240"/>
              <w:ind w:left="896" w:right="284" w:hanging="357"/>
            </w:pPr>
            <w:r>
              <w:t>Chaque arme de plus de 214 cm doit avoir une marque en relief clairement identifiée à 50 cm de son pommeau.</w:t>
            </w:r>
          </w:p>
        </w:tc>
      </w:tr>
    </w:tbl>
    <w:p w:rsidR="00DD3855" w:rsidRDefault="00DD3855" w:rsidP="00DD3855"/>
    <w:p w:rsidR="00DD3855" w:rsidRDefault="00DD3855" w:rsidP="00DD3855"/>
    <w:p w:rsidR="00DD3855" w:rsidRDefault="00DD3855" w:rsidP="00DD3855"/>
    <w:p w:rsidR="00E678DB" w:rsidRDefault="00E678DB" w:rsidP="00DD3855">
      <w:bookmarkStart w:id="9" w:name="_GoBack"/>
      <w:bookmarkEnd w:id="9"/>
    </w:p>
    <w:p w:rsidR="00E678DB" w:rsidRDefault="00E678DB" w:rsidP="00DD3855"/>
    <w:p w:rsidR="00E678DB" w:rsidRDefault="00E678DB" w:rsidP="00DD3855"/>
    <w:p w:rsidR="00E678DB" w:rsidRDefault="00E678DB" w:rsidP="00DD3855"/>
    <w:p w:rsidR="00E678DB" w:rsidRDefault="00E678DB" w:rsidP="00DD3855"/>
    <w:p w:rsidR="00C3624D" w:rsidRDefault="00C3624D" w:rsidP="00DD3855"/>
    <w:p w:rsidR="00C3624D" w:rsidRDefault="00C3624D" w:rsidP="00DD3855"/>
    <w:p w:rsidR="00DD3855" w:rsidRDefault="00DD3855" w:rsidP="00DD3855"/>
    <w:p w:rsidR="00DD3855" w:rsidRDefault="00DD3855" w:rsidP="00E678DB">
      <w:pPr>
        <w:pStyle w:val="Titre2"/>
      </w:pPr>
      <w:bookmarkStart w:id="10" w:name="_Toc13141725"/>
      <w:r>
        <w:t>Armes de tir</w:t>
      </w:r>
      <w:bookmarkEnd w:id="10"/>
      <w:r>
        <w:t xml:space="preserve"> </w:t>
      </w:r>
    </w:p>
    <w:p w:rsidR="00DD3855" w:rsidRDefault="00DD3855" w:rsidP="00DD3855">
      <w:r>
        <w:t xml:space="preserve"> </w:t>
      </w: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E678DB"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678DB" w:rsidRPr="00542DB6" w:rsidRDefault="00E678DB" w:rsidP="00E678DB">
            <w:pPr>
              <w:pStyle w:val="Titre3"/>
              <w:rPr>
                <w:rFonts w:eastAsia="Times New Roman" w:cs="Arial"/>
                <w:color w:val="000000"/>
                <w:sz w:val="22"/>
                <w:lang w:eastAsia="fr-CA"/>
              </w:rPr>
            </w:pPr>
            <w:bookmarkStart w:id="11" w:name="_Toc13141726"/>
            <w:r w:rsidRPr="00E678DB">
              <w:t>Arc et Arbalète</w:t>
            </w:r>
            <w:bookmarkEnd w:id="11"/>
          </w:p>
        </w:tc>
      </w:tr>
      <w:tr w:rsidR="00E678DB" w:rsidTr="00C3624D">
        <w:trPr>
          <w:trHeight w:val="73"/>
        </w:trPr>
        <w:tc>
          <w:tcPr>
            <w:tcW w:w="5063" w:type="dxa"/>
            <w:tcBorders>
              <w:top w:val="nil"/>
              <w:left w:val="single" w:sz="4" w:space="0" w:color="auto"/>
              <w:bottom w:val="single" w:sz="4" w:space="0" w:color="auto"/>
              <w:right w:val="single" w:sz="4" w:space="0" w:color="auto"/>
            </w:tcBorders>
            <w:shd w:val="clear" w:color="auto" w:fill="auto"/>
            <w:noWrap/>
            <w:hideMark/>
          </w:tcPr>
          <w:p w:rsidR="00A254CB" w:rsidRDefault="00A254CB" w:rsidP="00A254CB"/>
          <w:p w:rsidR="00A254CB" w:rsidRDefault="00E678DB" w:rsidP="00FB7DE2">
            <w:pPr>
              <w:jc w:val="center"/>
            </w:pPr>
            <w:r>
              <w:t>Homologation</w:t>
            </w:r>
          </w:p>
          <w:p w:rsidR="00FB7DE2" w:rsidRDefault="00FB7DE2" w:rsidP="00A254CB"/>
          <w:p w:rsidR="00A254CB" w:rsidRDefault="00FB7DE2" w:rsidP="00A254CB">
            <w:pPr>
              <w:jc w:val="center"/>
            </w:pPr>
            <w:r>
              <w:rPr>
                <w:noProof/>
                <w:lang w:eastAsia="fr-CA"/>
              </w:rPr>
              <w:drawing>
                <wp:inline distT="0" distB="0" distL="0" distR="0" wp14:anchorId="613F57B3" wp14:editId="56146AC8">
                  <wp:extent cx="1577592" cy="3317037"/>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41" b="10161"/>
                          <a:stretch/>
                        </pic:blipFill>
                        <pic:spPr bwMode="auto">
                          <a:xfrm>
                            <a:off x="0" y="0"/>
                            <a:ext cx="1584000" cy="3330510"/>
                          </a:xfrm>
                          <a:prstGeom prst="rect">
                            <a:avLst/>
                          </a:prstGeom>
                          <a:ln>
                            <a:noFill/>
                          </a:ln>
                          <a:extLst>
                            <a:ext uri="{53640926-AAD7-44D8-BBD7-CCE9431645EC}">
                              <a14:shadowObscured xmlns:a14="http://schemas.microsoft.com/office/drawing/2010/main"/>
                            </a:ext>
                          </a:extLst>
                        </pic:spPr>
                      </pic:pic>
                    </a:graphicData>
                  </a:graphic>
                </wp:inline>
              </w:drawing>
            </w:r>
          </w:p>
        </w:tc>
        <w:tc>
          <w:tcPr>
            <w:tcW w:w="5063" w:type="dxa"/>
            <w:tcBorders>
              <w:top w:val="single" w:sz="4" w:space="0" w:color="auto"/>
              <w:left w:val="nil"/>
              <w:bottom w:val="single" w:sz="4" w:space="0" w:color="auto"/>
              <w:right w:val="single" w:sz="4" w:space="0" w:color="auto"/>
            </w:tcBorders>
            <w:shd w:val="clear" w:color="auto" w:fill="auto"/>
            <w:noWrap/>
            <w:hideMark/>
          </w:tcPr>
          <w:p w:rsidR="00A254CB" w:rsidRDefault="00E678DB" w:rsidP="00FB7DE2">
            <w:pPr>
              <w:pStyle w:val="Paragraphedeliste"/>
              <w:numPr>
                <w:ilvl w:val="0"/>
                <w:numId w:val="3"/>
              </w:numPr>
              <w:spacing w:before="240"/>
              <w:ind w:right="284"/>
            </w:pPr>
            <w:r>
              <w:t xml:space="preserve">L’effort maximal de projection ne </w:t>
            </w:r>
            <w:r w:rsidR="00A254CB">
              <w:t xml:space="preserve">doit pas  dépasser 28 joules. </w:t>
            </w:r>
          </w:p>
          <w:p w:rsidR="00E678DB" w:rsidRDefault="00E678DB" w:rsidP="00FB7DE2">
            <w:pPr>
              <w:pStyle w:val="Paragraphedeliste"/>
              <w:numPr>
                <w:ilvl w:val="0"/>
                <w:numId w:val="3"/>
              </w:numPr>
              <w:spacing w:before="240"/>
              <w:ind w:right="284"/>
            </w:pPr>
            <w:r>
              <w:t xml:space="preserve"> Les armes à poulie sont interdites. </w:t>
            </w:r>
          </w:p>
          <w:p w:rsidR="00E678DB" w:rsidRDefault="00A254CB" w:rsidP="00FB7DE2">
            <w:pPr>
              <w:spacing w:before="240"/>
              <w:ind w:right="284"/>
            </w:pPr>
            <w:r>
              <w:t xml:space="preserve">     </w:t>
            </w:r>
            <w:r w:rsidR="00E678DB">
              <w:t xml:space="preserve">Pour connaître la tension maximale autorisée pour une arme correspondant à un effort maximal de projection de 28 joules, vous devez premièrement déterminer quelle est sa course d’extension. Deuxièmement, transposez la mesure dans le tableau Tension maximal des armes.  </w:t>
            </w:r>
          </w:p>
          <w:p w:rsidR="00E678DB" w:rsidRDefault="00A254CB" w:rsidP="00FB7DE2">
            <w:pPr>
              <w:spacing w:before="240"/>
              <w:ind w:right="284"/>
            </w:pPr>
            <w:r>
              <w:t xml:space="preserve">     </w:t>
            </w:r>
            <w:r w:rsidR="00E678DB">
              <w:t xml:space="preserve">Pour toutes armes qui peuvent utiliser des flèches avec l’allonge maximale du tableau. On trouve la course d’extension en soustrayant le band d’arc de l’allonge maximale du tableau. </w:t>
            </w:r>
          </w:p>
          <w:p w:rsidR="00E678DB" w:rsidRDefault="00A254CB" w:rsidP="00FB7DE2">
            <w:pPr>
              <w:spacing w:before="240"/>
              <w:ind w:right="284"/>
            </w:pPr>
            <w:r>
              <w:t xml:space="preserve">     </w:t>
            </w:r>
            <w:r w:rsidR="00E678DB">
              <w:t xml:space="preserve">Pour les armes qui ne peuvent avoir l’allonge maximale du tableau. Il faut déduire l’allonge maximale réelle de l’arme du band d’arc. </w:t>
            </w:r>
          </w:p>
          <w:p w:rsidR="00E678DB" w:rsidRDefault="00A254CB" w:rsidP="00FB7DE2">
            <w:pPr>
              <w:spacing w:before="240"/>
              <w:ind w:right="284"/>
            </w:pPr>
            <w:r>
              <w:t xml:space="preserve">     </w:t>
            </w:r>
            <w:r w:rsidR="00E678DB">
              <w:t xml:space="preserve">Allonge maximale: Distance mesurée entre la poignée de l'arc et la corde de l’arc en pleine extension. </w:t>
            </w:r>
          </w:p>
          <w:p w:rsidR="00E678DB" w:rsidRDefault="00A254CB" w:rsidP="00C3624D">
            <w:pPr>
              <w:spacing w:before="240"/>
              <w:ind w:right="284"/>
            </w:pPr>
            <w:r>
              <w:t xml:space="preserve">     </w:t>
            </w:r>
            <w:r w:rsidR="00E678DB">
              <w:t xml:space="preserve">Band d’arc: Intervalle entre l'intérieur de la poignée de l'arc et la corde de l’arme sans extension. </w:t>
            </w:r>
          </w:p>
          <w:p w:rsidR="00E678DB" w:rsidRDefault="00E678DB" w:rsidP="00C3624D">
            <w:pPr>
              <w:spacing w:before="240"/>
              <w:ind w:right="284"/>
            </w:pPr>
            <w:r>
              <w:t xml:space="preserve">Course d’extension: Correspond à la différence entre l’allonge et le band d’arc. </w:t>
            </w:r>
          </w:p>
        </w:tc>
      </w:tr>
    </w:tbl>
    <w:p w:rsidR="00DD3855" w:rsidRDefault="00DD3855" w:rsidP="00DD3855"/>
    <w:p w:rsidR="00A254CB" w:rsidRDefault="00DD3855" w:rsidP="00A254CB">
      <w:pPr>
        <w:pStyle w:val="Titre3"/>
        <w:rPr>
          <w:rStyle w:val="Titre2Car"/>
          <w:b/>
          <w:bCs/>
          <w:sz w:val="24"/>
          <w:szCs w:val="22"/>
          <w:u w:val="none"/>
        </w:rPr>
      </w:pPr>
      <w:bookmarkStart w:id="12" w:name="_Toc13141727"/>
      <w:r w:rsidRPr="00A254CB">
        <w:rPr>
          <w:rStyle w:val="Titre2Car"/>
          <w:b/>
          <w:bCs/>
          <w:sz w:val="24"/>
          <w:szCs w:val="22"/>
          <w:u w:val="none"/>
        </w:rPr>
        <w:t>À noter</w:t>
      </w:r>
      <w:bookmarkEnd w:id="12"/>
    </w:p>
    <w:p w:rsidR="00A254CB" w:rsidRPr="00A254CB" w:rsidRDefault="00A254CB" w:rsidP="00A254CB"/>
    <w:p w:rsidR="003E08C1" w:rsidRDefault="00DD3855" w:rsidP="003E08C1">
      <w:pPr>
        <w:pStyle w:val="Paragraphedeliste"/>
        <w:numPr>
          <w:ilvl w:val="0"/>
          <w:numId w:val="4"/>
        </w:numPr>
      </w:pPr>
      <w:r>
        <w:t>Dans le but de faciliter l’homologation des armes de tir, nous avons gardé leur spécification relativement simple. Cependant, l’évaluation de la sécurité d’une arme reste au b</w:t>
      </w:r>
      <w:r w:rsidR="00A254CB">
        <w:t>on jugement de l’</w:t>
      </w:r>
      <w:proofErr w:type="spellStart"/>
      <w:r w:rsidR="00A254CB">
        <w:t>homologateur</w:t>
      </w:r>
      <w:proofErr w:type="spellEnd"/>
      <w:r w:rsidR="00A254CB">
        <w:t>.</w:t>
      </w:r>
    </w:p>
    <w:p w:rsidR="00DD3855" w:rsidRDefault="00DD3855" w:rsidP="00A254CB">
      <w:pPr>
        <w:pStyle w:val="Paragraphedeliste"/>
        <w:numPr>
          <w:ilvl w:val="0"/>
          <w:numId w:val="4"/>
        </w:numPr>
      </w:pPr>
      <w:r>
        <w:t xml:space="preserve">Si votre arme tire à plus de 30 m (100’), cela devrait vous allumer une lumière rouge. </w:t>
      </w:r>
    </w:p>
    <w:p w:rsidR="00A254CB" w:rsidRDefault="00A254CB" w:rsidP="00A254CB"/>
    <w:tbl>
      <w:tblPr>
        <w:tblW w:w="10640" w:type="dxa"/>
        <w:tblInd w:w="55" w:type="dxa"/>
        <w:tblCellMar>
          <w:left w:w="70" w:type="dxa"/>
          <w:right w:w="70" w:type="dxa"/>
        </w:tblCellMar>
        <w:tblLook w:val="04A0" w:firstRow="1" w:lastRow="0" w:firstColumn="1" w:lastColumn="0" w:noHBand="0" w:noVBand="1"/>
      </w:tblPr>
      <w:tblGrid>
        <w:gridCol w:w="2870"/>
        <w:gridCol w:w="2870"/>
        <w:gridCol w:w="2560"/>
        <w:gridCol w:w="2340"/>
      </w:tblGrid>
      <w:tr w:rsidR="00A254CB" w:rsidRPr="00A254CB" w:rsidTr="00A254CB">
        <w:trPr>
          <w:trHeight w:val="375"/>
        </w:trPr>
        <w:tc>
          <w:tcPr>
            <w:tcW w:w="10640"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254CB" w:rsidRPr="00A254CB" w:rsidRDefault="00A254CB" w:rsidP="00A254CB">
            <w:pPr>
              <w:spacing w:after="0" w:line="240" w:lineRule="auto"/>
              <w:jc w:val="center"/>
              <w:rPr>
                <w:rFonts w:ascii="Calibri" w:eastAsia="Times New Roman" w:hAnsi="Calibri" w:cs="Calibri"/>
                <w:b/>
                <w:bCs/>
                <w:color w:val="000000"/>
                <w:sz w:val="28"/>
                <w:szCs w:val="28"/>
                <w:lang w:eastAsia="fr-CA"/>
              </w:rPr>
            </w:pPr>
            <w:r w:rsidRPr="00A254CB">
              <w:rPr>
                <w:rFonts w:ascii="Calibri" w:eastAsia="Times New Roman" w:hAnsi="Calibri" w:cs="Calibri"/>
                <w:b/>
                <w:bCs/>
                <w:color w:val="000000"/>
                <w:sz w:val="28"/>
                <w:szCs w:val="28"/>
                <w:lang w:eastAsia="fr-CA"/>
              </w:rPr>
              <w:t xml:space="preserve">Tension maximal des armes </w:t>
            </w:r>
          </w:p>
        </w:tc>
      </w:tr>
      <w:tr w:rsidR="00A254CB" w:rsidRPr="00A254CB" w:rsidTr="00A254CB">
        <w:trPr>
          <w:trHeight w:val="300"/>
        </w:trPr>
        <w:tc>
          <w:tcPr>
            <w:tcW w:w="287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254CB" w:rsidRPr="00A254CB" w:rsidRDefault="00A254CB" w:rsidP="00A254CB">
            <w:pPr>
              <w:spacing w:after="0" w:line="240" w:lineRule="auto"/>
              <w:jc w:val="center"/>
              <w:rPr>
                <w:rFonts w:ascii="Calibri" w:eastAsia="Times New Roman" w:hAnsi="Calibri" w:cs="Calibri"/>
                <w:b/>
                <w:bCs/>
                <w:color w:val="000000"/>
                <w:sz w:val="22"/>
                <w:lang w:eastAsia="fr-CA"/>
              </w:rPr>
            </w:pPr>
            <w:r w:rsidRPr="00A254CB">
              <w:rPr>
                <w:rFonts w:ascii="Calibri" w:eastAsia="Times New Roman" w:hAnsi="Calibri" w:cs="Calibri"/>
                <w:b/>
                <w:bCs/>
                <w:color w:val="000000"/>
                <w:sz w:val="22"/>
                <w:lang w:eastAsia="fr-CA"/>
              </w:rPr>
              <w:t xml:space="preserve">Course d'extension en pouce </w:t>
            </w:r>
          </w:p>
        </w:tc>
        <w:tc>
          <w:tcPr>
            <w:tcW w:w="287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254CB" w:rsidRPr="00A254CB" w:rsidRDefault="00A254CB" w:rsidP="00784293">
            <w:pPr>
              <w:spacing w:after="0" w:line="240" w:lineRule="auto"/>
              <w:jc w:val="center"/>
              <w:rPr>
                <w:rFonts w:ascii="Calibri" w:eastAsia="Times New Roman" w:hAnsi="Calibri" w:cs="Calibri"/>
                <w:b/>
                <w:bCs/>
                <w:color w:val="000000"/>
                <w:sz w:val="22"/>
                <w:lang w:eastAsia="fr-CA"/>
              </w:rPr>
            </w:pPr>
            <w:r w:rsidRPr="00A254CB">
              <w:rPr>
                <w:rFonts w:ascii="Calibri" w:eastAsia="Times New Roman" w:hAnsi="Calibri" w:cs="Calibri"/>
                <w:b/>
                <w:bCs/>
                <w:color w:val="000000"/>
                <w:sz w:val="22"/>
                <w:lang w:eastAsia="fr-CA"/>
              </w:rPr>
              <w:t xml:space="preserve">Course d'extension en </w:t>
            </w:r>
            <w:r w:rsidR="00784293">
              <w:rPr>
                <w:rFonts w:ascii="Calibri" w:eastAsia="Times New Roman" w:hAnsi="Calibri" w:cs="Calibri"/>
                <w:b/>
                <w:bCs/>
                <w:color w:val="000000"/>
                <w:sz w:val="22"/>
                <w:lang w:eastAsia="fr-CA"/>
              </w:rPr>
              <w:t>cm</w:t>
            </w:r>
          </w:p>
        </w:tc>
        <w:tc>
          <w:tcPr>
            <w:tcW w:w="256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254CB" w:rsidRPr="00A254CB" w:rsidRDefault="00784293" w:rsidP="00A254CB">
            <w:pPr>
              <w:spacing w:after="0" w:line="240" w:lineRule="auto"/>
              <w:jc w:val="center"/>
              <w:rPr>
                <w:rFonts w:ascii="Calibri" w:eastAsia="Times New Roman" w:hAnsi="Calibri" w:cs="Calibri"/>
                <w:b/>
                <w:bCs/>
                <w:color w:val="000000"/>
                <w:sz w:val="22"/>
                <w:lang w:eastAsia="fr-CA"/>
              </w:rPr>
            </w:pPr>
            <w:r w:rsidRPr="00A254CB">
              <w:rPr>
                <w:rFonts w:ascii="Calibri" w:eastAsia="Times New Roman" w:hAnsi="Calibri" w:cs="Calibri"/>
                <w:b/>
                <w:bCs/>
                <w:color w:val="000000"/>
                <w:sz w:val="22"/>
                <w:lang w:eastAsia="fr-CA"/>
              </w:rPr>
              <w:t xml:space="preserve">Tension maximal en </w:t>
            </w:r>
            <w:proofErr w:type="spellStart"/>
            <w:r w:rsidRPr="00A254CB">
              <w:rPr>
                <w:rFonts w:ascii="Calibri" w:eastAsia="Times New Roman" w:hAnsi="Calibri" w:cs="Calibri"/>
                <w:b/>
                <w:bCs/>
                <w:color w:val="000000"/>
                <w:sz w:val="22"/>
                <w:lang w:eastAsia="fr-CA"/>
              </w:rPr>
              <w:t>lbs</w:t>
            </w:r>
            <w:proofErr w:type="spellEnd"/>
          </w:p>
        </w:tc>
        <w:tc>
          <w:tcPr>
            <w:tcW w:w="234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A254CB" w:rsidRPr="00A254CB" w:rsidRDefault="00784293" w:rsidP="00A254CB">
            <w:pPr>
              <w:spacing w:after="0" w:line="240" w:lineRule="auto"/>
              <w:jc w:val="center"/>
              <w:rPr>
                <w:rFonts w:ascii="Calibri" w:eastAsia="Times New Roman" w:hAnsi="Calibri" w:cs="Calibri"/>
                <w:b/>
                <w:bCs/>
                <w:color w:val="000000"/>
                <w:sz w:val="22"/>
                <w:lang w:eastAsia="fr-CA"/>
              </w:rPr>
            </w:pPr>
            <w:r>
              <w:rPr>
                <w:rFonts w:ascii="Calibri" w:eastAsia="Times New Roman" w:hAnsi="Calibri" w:cs="Calibri"/>
                <w:b/>
                <w:bCs/>
                <w:color w:val="000000"/>
                <w:sz w:val="22"/>
                <w:lang w:eastAsia="fr-CA"/>
              </w:rPr>
              <w:t>Tension maximal en kg</w:t>
            </w:r>
            <w:r w:rsidR="00A254CB" w:rsidRPr="00A254CB">
              <w:rPr>
                <w:rFonts w:ascii="Calibri" w:eastAsia="Times New Roman" w:hAnsi="Calibri" w:cs="Calibri"/>
                <w:b/>
                <w:bCs/>
                <w:color w:val="000000"/>
                <w:sz w:val="22"/>
                <w:lang w:eastAsia="fr-CA"/>
              </w:rPr>
              <w:t xml:space="preserve"> </w:t>
            </w:r>
          </w:p>
        </w:tc>
      </w:tr>
      <w:tr w:rsidR="00A254CB" w:rsidRPr="00A254CB" w:rsidTr="00A254CB">
        <w:trPr>
          <w:trHeight w:val="300"/>
        </w:trPr>
        <w:tc>
          <w:tcPr>
            <w:tcW w:w="2870" w:type="dxa"/>
            <w:vMerge/>
            <w:tcBorders>
              <w:top w:val="nil"/>
              <w:left w:val="single" w:sz="4" w:space="0" w:color="auto"/>
              <w:bottom w:val="single" w:sz="4" w:space="0" w:color="auto"/>
              <w:right w:val="single" w:sz="4" w:space="0" w:color="auto"/>
            </w:tcBorders>
            <w:vAlign w:val="center"/>
            <w:hideMark/>
          </w:tcPr>
          <w:p w:rsidR="00A254CB" w:rsidRPr="00A254CB" w:rsidRDefault="00A254CB" w:rsidP="00A254CB">
            <w:pPr>
              <w:spacing w:after="0" w:line="240" w:lineRule="auto"/>
              <w:jc w:val="left"/>
              <w:rPr>
                <w:rFonts w:ascii="Calibri" w:eastAsia="Times New Roman" w:hAnsi="Calibri" w:cs="Calibri"/>
                <w:b/>
                <w:bCs/>
                <w:color w:val="000000"/>
                <w:sz w:val="22"/>
                <w:lang w:eastAsia="fr-CA"/>
              </w:rPr>
            </w:pPr>
          </w:p>
        </w:tc>
        <w:tc>
          <w:tcPr>
            <w:tcW w:w="2870" w:type="dxa"/>
            <w:vMerge/>
            <w:tcBorders>
              <w:top w:val="nil"/>
              <w:left w:val="single" w:sz="4" w:space="0" w:color="auto"/>
              <w:bottom w:val="single" w:sz="4" w:space="0" w:color="auto"/>
              <w:right w:val="single" w:sz="4" w:space="0" w:color="auto"/>
            </w:tcBorders>
            <w:vAlign w:val="center"/>
            <w:hideMark/>
          </w:tcPr>
          <w:p w:rsidR="00A254CB" w:rsidRPr="00A254CB" w:rsidRDefault="00A254CB" w:rsidP="00A254CB">
            <w:pPr>
              <w:spacing w:after="0" w:line="240" w:lineRule="auto"/>
              <w:jc w:val="left"/>
              <w:rPr>
                <w:rFonts w:ascii="Calibri" w:eastAsia="Times New Roman" w:hAnsi="Calibri" w:cs="Calibri"/>
                <w:b/>
                <w:bCs/>
                <w:color w:val="000000"/>
                <w:sz w:val="22"/>
                <w:lang w:eastAsia="fr-CA"/>
              </w:rPr>
            </w:pPr>
          </w:p>
        </w:tc>
        <w:tc>
          <w:tcPr>
            <w:tcW w:w="2560" w:type="dxa"/>
            <w:vMerge/>
            <w:tcBorders>
              <w:top w:val="nil"/>
              <w:left w:val="single" w:sz="4" w:space="0" w:color="auto"/>
              <w:bottom w:val="single" w:sz="4" w:space="0" w:color="auto"/>
              <w:right w:val="single" w:sz="4" w:space="0" w:color="auto"/>
            </w:tcBorders>
            <w:vAlign w:val="center"/>
            <w:hideMark/>
          </w:tcPr>
          <w:p w:rsidR="00A254CB" w:rsidRPr="00A254CB" w:rsidRDefault="00A254CB" w:rsidP="00A254CB">
            <w:pPr>
              <w:spacing w:after="0" w:line="240" w:lineRule="auto"/>
              <w:jc w:val="left"/>
              <w:rPr>
                <w:rFonts w:ascii="Calibri" w:eastAsia="Times New Roman" w:hAnsi="Calibri" w:cs="Calibri"/>
                <w:b/>
                <w:bCs/>
                <w:color w:val="000000"/>
                <w:sz w:val="22"/>
                <w:lang w:eastAsia="fr-CA"/>
              </w:rPr>
            </w:pPr>
          </w:p>
        </w:tc>
        <w:tc>
          <w:tcPr>
            <w:tcW w:w="2340" w:type="dxa"/>
            <w:vMerge/>
            <w:tcBorders>
              <w:top w:val="nil"/>
              <w:left w:val="single" w:sz="4" w:space="0" w:color="auto"/>
              <w:bottom w:val="single" w:sz="4" w:space="0" w:color="auto"/>
              <w:right w:val="single" w:sz="4" w:space="0" w:color="auto"/>
            </w:tcBorders>
            <w:vAlign w:val="center"/>
            <w:hideMark/>
          </w:tcPr>
          <w:p w:rsidR="00A254CB" w:rsidRPr="00A254CB" w:rsidRDefault="00A254CB" w:rsidP="00A254CB">
            <w:pPr>
              <w:spacing w:after="0" w:line="240" w:lineRule="auto"/>
              <w:jc w:val="left"/>
              <w:rPr>
                <w:rFonts w:ascii="Calibri" w:eastAsia="Times New Roman" w:hAnsi="Calibri" w:cs="Calibri"/>
                <w:b/>
                <w:bCs/>
                <w:color w:val="000000"/>
                <w:sz w:val="22"/>
                <w:lang w:eastAsia="fr-CA"/>
              </w:rPr>
            </w:pP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 xml:space="preserve">8” et moins </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784293" w:rsidP="00784293">
            <w:pPr>
              <w:spacing w:after="0" w:line="240" w:lineRule="auto"/>
              <w:jc w:val="center"/>
              <w:rPr>
                <w:rFonts w:ascii="Calibri" w:eastAsia="Times New Roman" w:hAnsi="Calibri" w:cs="Calibri"/>
                <w:color w:val="000000"/>
                <w:sz w:val="22"/>
                <w:lang w:eastAsia="fr-CA"/>
              </w:rPr>
            </w:pPr>
            <w:r>
              <w:rPr>
                <w:rFonts w:ascii="Calibri" w:eastAsia="Times New Roman" w:hAnsi="Calibri" w:cs="Calibri"/>
                <w:color w:val="000000"/>
                <w:sz w:val="22"/>
                <w:lang w:eastAsia="fr-CA"/>
              </w:rPr>
              <w:t>20 cm</w:t>
            </w:r>
            <w:r w:rsidR="00A254CB" w:rsidRPr="00A254CB">
              <w:rPr>
                <w:rFonts w:ascii="Calibri" w:eastAsia="Times New Roman" w:hAnsi="Calibri" w:cs="Calibri"/>
                <w:color w:val="000000"/>
                <w:sz w:val="22"/>
                <w:lang w:eastAsia="fr-CA"/>
              </w:rPr>
              <w:t xml:space="preserve"> et moins </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60</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27,2</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9</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23</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56</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25,5</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10</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25</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51</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23</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11</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28</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46</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20,9</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12</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30</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42</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19,2</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13</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33</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39</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17,8</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14</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36</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36</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16,5</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15</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38</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34</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15,5</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16</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41</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32</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14,5</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17</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43</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30</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13,7</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18</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46</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29</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13</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19</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48</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27</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12,3</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20</w:t>
            </w:r>
            <w:r w:rsidR="00784293">
              <w:rPr>
                <w:rFonts w:ascii="Calibri" w:eastAsia="Times New Roman" w:hAnsi="Calibri" w:cs="Calibri"/>
                <w:color w:val="000000"/>
                <w:sz w:val="22"/>
                <w:lang w:eastAsia="fr-CA"/>
              </w:rPr>
              <w:t>(arbalète)</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51</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26</w:t>
            </w:r>
            <w:r w:rsidR="00784293">
              <w:rPr>
                <w:rFonts w:ascii="Calibri" w:eastAsia="Times New Roman" w:hAnsi="Calibri" w:cs="Calibri"/>
                <w:color w:val="000000"/>
                <w:sz w:val="22"/>
                <w:lang w:eastAsia="fr-CA"/>
              </w:rPr>
              <w:t>(tolère 30)</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11,7</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21</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53</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25</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11,2</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22</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56</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24</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10,7</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23</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58</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23</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10,2</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24</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61</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22</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908</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25</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64</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21</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9,5</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26</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66</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20</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9,1</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27</w:t>
            </w:r>
          </w:p>
        </w:tc>
        <w:tc>
          <w:tcPr>
            <w:tcW w:w="287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69</w:t>
            </w:r>
          </w:p>
        </w:tc>
        <w:tc>
          <w:tcPr>
            <w:tcW w:w="256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19</w:t>
            </w:r>
          </w:p>
        </w:tc>
        <w:tc>
          <w:tcPr>
            <w:tcW w:w="2340" w:type="dxa"/>
            <w:tcBorders>
              <w:top w:val="nil"/>
              <w:left w:val="nil"/>
              <w:bottom w:val="single" w:sz="4" w:space="0" w:color="auto"/>
              <w:right w:val="single" w:sz="4" w:space="0" w:color="auto"/>
            </w:tcBorders>
            <w:shd w:val="clear" w:color="000000" w:fill="F2F2F2"/>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8,8</w:t>
            </w:r>
          </w:p>
        </w:tc>
      </w:tr>
      <w:tr w:rsidR="00A254CB" w:rsidRPr="00A254CB" w:rsidTr="00A254CB">
        <w:trPr>
          <w:trHeight w:val="300"/>
        </w:trPr>
        <w:tc>
          <w:tcPr>
            <w:tcW w:w="2870" w:type="dxa"/>
            <w:tcBorders>
              <w:top w:val="nil"/>
              <w:left w:val="single" w:sz="4" w:space="0" w:color="auto"/>
              <w:bottom w:val="single" w:sz="4" w:space="0" w:color="auto"/>
              <w:right w:val="single" w:sz="4" w:space="0" w:color="auto"/>
            </w:tcBorders>
            <w:shd w:val="clear" w:color="auto" w:fill="auto"/>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28</w:t>
            </w:r>
            <w:r w:rsidR="00784293">
              <w:rPr>
                <w:rFonts w:ascii="Calibri" w:eastAsia="Times New Roman" w:hAnsi="Calibri" w:cs="Calibri"/>
                <w:color w:val="000000"/>
                <w:sz w:val="22"/>
                <w:lang w:eastAsia="fr-CA"/>
              </w:rPr>
              <w:t>(arc) (</w:t>
            </w:r>
            <w:r w:rsidR="00E94EE5">
              <w:rPr>
                <w:rFonts w:ascii="Calibri" w:eastAsia="Times New Roman" w:hAnsi="Calibri" w:cs="Calibri"/>
                <w:color w:val="000000"/>
                <w:sz w:val="22"/>
                <w:lang w:eastAsia="fr-CA"/>
              </w:rPr>
              <w:t>29</w:t>
            </w:r>
            <w:r w:rsidR="00784293">
              <w:rPr>
                <w:rFonts w:ascii="Calibri" w:eastAsia="Times New Roman" w:hAnsi="Calibri" w:cs="Calibri"/>
                <w:color w:val="000000"/>
                <w:sz w:val="22"/>
                <w:lang w:eastAsia="fr-CA"/>
              </w:rPr>
              <w:t>)</w:t>
            </w:r>
          </w:p>
        </w:tc>
        <w:tc>
          <w:tcPr>
            <w:tcW w:w="2870" w:type="dxa"/>
            <w:tcBorders>
              <w:top w:val="nil"/>
              <w:left w:val="nil"/>
              <w:bottom w:val="single" w:sz="4" w:space="0" w:color="auto"/>
              <w:right w:val="single" w:sz="4" w:space="0" w:color="auto"/>
            </w:tcBorders>
            <w:shd w:val="clear" w:color="auto" w:fill="auto"/>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71</w:t>
            </w:r>
          </w:p>
        </w:tc>
        <w:tc>
          <w:tcPr>
            <w:tcW w:w="2560" w:type="dxa"/>
            <w:tcBorders>
              <w:top w:val="nil"/>
              <w:left w:val="nil"/>
              <w:bottom w:val="single" w:sz="4" w:space="0" w:color="auto"/>
              <w:right w:val="single" w:sz="4" w:space="0" w:color="auto"/>
            </w:tcBorders>
            <w:shd w:val="clear" w:color="auto" w:fill="auto"/>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19</w:t>
            </w:r>
            <w:r w:rsidR="00784293">
              <w:rPr>
                <w:rFonts w:ascii="Calibri" w:eastAsia="Times New Roman" w:hAnsi="Calibri" w:cs="Calibri"/>
                <w:color w:val="000000"/>
                <w:sz w:val="22"/>
                <w:lang w:eastAsia="fr-CA"/>
              </w:rPr>
              <w:t xml:space="preserve">  (20)</w:t>
            </w:r>
          </w:p>
        </w:tc>
        <w:tc>
          <w:tcPr>
            <w:tcW w:w="2340" w:type="dxa"/>
            <w:tcBorders>
              <w:top w:val="nil"/>
              <w:left w:val="nil"/>
              <w:bottom w:val="single" w:sz="4" w:space="0" w:color="auto"/>
              <w:right w:val="single" w:sz="4" w:space="0" w:color="auto"/>
            </w:tcBorders>
            <w:shd w:val="clear" w:color="auto" w:fill="auto"/>
            <w:noWrap/>
            <w:vAlign w:val="bottom"/>
            <w:hideMark/>
          </w:tcPr>
          <w:p w:rsidR="00A254CB" w:rsidRPr="00A254CB" w:rsidRDefault="00A254CB" w:rsidP="00A254CB">
            <w:pPr>
              <w:spacing w:after="0" w:line="240" w:lineRule="auto"/>
              <w:jc w:val="center"/>
              <w:rPr>
                <w:rFonts w:ascii="Calibri" w:eastAsia="Times New Roman" w:hAnsi="Calibri" w:cs="Calibri"/>
                <w:color w:val="000000"/>
                <w:sz w:val="22"/>
                <w:lang w:eastAsia="fr-CA"/>
              </w:rPr>
            </w:pPr>
            <w:r w:rsidRPr="00A254CB">
              <w:rPr>
                <w:rFonts w:ascii="Calibri" w:eastAsia="Times New Roman" w:hAnsi="Calibri" w:cs="Calibri"/>
                <w:color w:val="000000"/>
                <w:sz w:val="22"/>
                <w:lang w:eastAsia="fr-CA"/>
              </w:rPr>
              <w:t>8,5</w:t>
            </w:r>
          </w:p>
        </w:tc>
      </w:tr>
    </w:tbl>
    <w:p w:rsidR="00DD3855" w:rsidRDefault="00DD3855" w:rsidP="00DD3855"/>
    <w:p w:rsidR="00E35187" w:rsidRDefault="00E35187" w:rsidP="003E08C1">
      <w:pPr>
        <w:pStyle w:val="Titre2"/>
      </w:pPr>
    </w:p>
    <w:p w:rsidR="00E35187" w:rsidRDefault="00E35187" w:rsidP="003E08C1">
      <w:pPr>
        <w:pStyle w:val="Titre2"/>
      </w:pPr>
    </w:p>
    <w:p w:rsidR="00E35187" w:rsidRDefault="00E35187" w:rsidP="003E08C1">
      <w:pPr>
        <w:pStyle w:val="Titre2"/>
      </w:pPr>
    </w:p>
    <w:p w:rsidR="00DD3855" w:rsidRDefault="00DD3855" w:rsidP="003E08C1">
      <w:pPr>
        <w:pStyle w:val="Titre2"/>
      </w:pPr>
      <w:bookmarkStart w:id="13" w:name="_Toc13141728"/>
      <w:r>
        <w:t>Projectiles</w:t>
      </w:r>
      <w:bookmarkEnd w:id="13"/>
      <w:r>
        <w:t xml:space="preserve"> </w:t>
      </w:r>
    </w:p>
    <w:p w:rsidR="00DD3855" w:rsidRDefault="00DD3855" w:rsidP="00DD3855">
      <w:r>
        <w:t xml:space="preserve"> </w:t>
      </w: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3E08C1"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08C1" w:rsidRPr="00542DB6" w:rsidRDefault="003E08C1" w:rsidP="00A42400">
            <w:pPr>
              <w:pStyle w:val="Titre3"/>
              <w:rPr>
                <w:rFonts w:eastAsia="Times New Roman" w:cs="Arial"/>
                <w:color w:val="000000"/>
                <w:sz w:val="22"/>
                <w:lang w:eastAsia="fr-CA"/>
              </w:rPr>
            </w:pPr>
            <w:bookmarkStart w:id="14" w:name="_Toc13141729"/>
            <w:r>
              <w:t>Flèches et carreaux</w:t>
            </w:r>
            <w:bookmarkEnd w:id="14"/>
          </w:p>
        </w:tc>
      </w:tr>
      <w:tr w:rsidR="003E08C1"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3E08C1" w:rsidP="00A42400">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3E08C1" w:rsidRDefault="003E08C1" w:rsidP="00F57336">
            <w:pPr>
              <w:pStyle w:val="Paragraphedeliste"/>
              <w:numPr>
                <w:ilvl w:val="0"/>
                <w:numId w:val="2"/>
              </w:numPr>
              <w:spacing w:before="240"/>
              <w:ind w:left="896" w:right="284" w:hanging="357"/>
            </w:pPr>
            <w:r>
              <w:t>Une allonge maximum de 74 cm (29”).</w:t>
            </w:r>
          </w:p>
          <w:p w:rsidR="00F57336" w:rsidRDefault="00E94EE5" w:rsidP="00F57336">
            <w:pPr>
              <w:pStyle w:val="Paragraphedeliste"/>
              <w:numPr>
                <w:ilvl w:val="0"/>
                <w:numId w:val="2"/>
              </w:numPr>
            </w:pPr>
            <w:r>
              <w:t>C</w:t>
            </w:r>
            <w:r>
              <w:t>arreaux</w:t>
            </w:r>
            <w:r>
              <w:t> : (31 – 71</w:t>
            </w:r>
            <w:proofErr w:type="gramStart"/>
            <w:r>
              <w:t>)</w:t>
            </w:r>
            <w:r w:rsidR="00F57336">
              <w:t>cm</w:t>
            </w:r>
            <w:proofErr w:type="gramEnd"/>
            <w:r w:rsidR="00F57336">
              <w:t xml:space="preserve"> / </w:t>
            </w:r>
            <w:r>
              <w:t>(12-28)po</w:t>
            </w:r>
          </w:p>
          <w:p w:rsidR="00F57336" w:rsidRDefault="00F57336" w:rsidP="00F57336">
            <w:pPr>
              <w:pStyle w:val="Paragraphedeliste"/>
              <w:numPr>
                <w:ilvl w:val="0"/>
                <w:numId w:val="2"/>
              </w:numPr>
            </w:pPr>
            <w:r>
              <w:t>Flèche : (31 – 91</w:t>
            </w:r>
            <w:proofErr w:type="gramStart"/>
            <w:r>
              <w:t>)cm</w:t>
            </w:r>
            <w:proofErr w:type="gramEnd"/>
            <w:r>
              <w:t xml:space="preserve"> / (12 – 36)po</w:t>
            </w:r>
          </w:p>
        </w:tc>
      </w:tr>
      <w:tr w:rsidR="003E08C1" w:rsidTr="00A42400">
        <w:trPr>
          <w:trHeight w:val="1837"/>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3E08C1" w:rsidP="003E08C1"/>
          <w:p w:rsidR="00F57336" w:rsidRDefault="00F57336" w:rsidP="00F57336">
            <w:pPr>
              <w:jc w:val="center"/>
            </w:pPr>
            <w:r>
              <w:t>Homologation</w:t>
            </w:r>
          </w:p>
          <w:p w:rsidR="003E08C1" w:rsidRDefault="003E08C1" w:rsidP="00E94EE5">
            <w:pPr>
              <w:jc w:val="center"/>
            </w:pPr>
            <w:r>
              <w:rPr>
                <w:noProof/>
                <w:lang w:eastAsia="fr-CA"/>
              </w:rPr>
              <w:drawing>
                <wp:inline distT="0" distB="0" distL="0" distR="0" wp14:anchorId="3A3B03DE" wp14:editId="05103198">
                  <wp:extent cx="552450" cy="2971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2450" cy="2971800"/>
                          </a:xfrm>
                          <a:prstGeom prst="rect">
                            <a:avLst/>
                          </a:prstGeom>
                        </pic:spPr>
                      </pic:pic>
                    </a:graphicData>
                  </a:graphic>
                </wp:inline>
              </w:drawing>
            </w:r>
          </w:p>
        </w:tc>
        <w:tc>
          <w:tcPr>
            <w:tcW w:w="5063" w:type="dxa"/>
            <w:tcBorders>
              <w:top w:val="single" w:sz="4" w:space="0" w:color="auto"/>
              <w:left w:val="nil"/>
              <w:bottom w:val="single" w:sz="4" w:space="0" w:color="auto"/>
              <w:right w:val="single" w:sz="4" w:space="0" w:color="auto"/>
            </w:tcBorders>
            <w:shd w:val="clear" w:color="auto" w:fill="auto"/>
            <w:noWrap/>
            <w:hideMark/>
          </w:tcPr>
          <w:p w:rsidR="003E08C1" w:rsidRDefault="003E08C1" w:rsidP="00F57336">
            <w:pPr>
              <w:pStyle w:val="Paragraphedeliste"/>
              <w:numPr>
                <w:ilvl w:val="0"/>
                <w:numId w:val="2"/>
              </w:numPr>
              <w:spacing w:before="240"/>
              <w:ind w:left="896" w:right="284" w:hanging="357"/>
            </w:pPr>
            <w:r>
              <w:t xml:space="preserve">Extrémité de la pointe du squelette sécurisée. </w:t>
            </w:r>
          </w:p>
          <w:p w:rsidR="003E08C1" w:rsidRDefault="003E08C1" w:rsidP="00F57336">
            <w:pPr>
              <w:pStyle w:val="Paragraphedeliste"/>
              <w:numPr>
                <w:ilvl w:val="0"/>
                <w:numId w:val="2"/>
              </w:numPr>
              <w:spacing w:before="240"/>
              <w:ind w:left="896" w:right="284" w:hanging="357"/>
            </w:pPr>
            <w:r>
              <w:t xml:space="preserve">Pointe du squelette de la flèche fixée de façon à ce que le squelette ne puisse en aucun temps passer au travers de la protection de la pointe. </w:t>
            </w:r>
          </w:p>
          <w:p w:rsidR="003E08C1" w:rsidRDefault="003E08C1" w:rsidP="00F57336">
            <w:pPr>
              <w:pStyle w:val="Paragraphedeliste"/>
              <w:numPr>
                <w:ilvl w:val="0"/>
                <w:numId w:val="2"/>
              </w:numPr>
              <w:spacing w:before="240"/>
              <w:ind w:left="896" w:right="284" w:hanging="357"/>
            </w:pPr>
            <w:r>
              <w:t xml:space="preserve">Finition de la pointe avec suffisamment de protection pour qu’en tout temps, l’œil soit protégé d’un impact.  </w:t>
            </w:r>
          </w:p>
          <w:p w:rsidR="003E08C1" w:rsidRDefault="003E08C1" w:rsidP="00F57336">
            <w:pPr>
              <w:pStyle w:val="Paragraphedeliste"/>
              <w:numPr>
                <w:ilvl w:val="0"/>
                <w:numId w:val="2"/>
              </w:numPr>
              <w:spacing w:before="240"/>
              <w:ind w:left="896" w:right="284" w:hanging="357"/>
            </w:pPr>
            <w:r>
              <w:t xml:space="preserve">La pointe se doit d’être d’un minimum de 5 cm (2”) de diamètre. </w:t>
            </w:r>
          </w:p>
          <w:p w:rsidR="003E08C1" w:rsidRDefault="003E08C1" w:rsidP="00F57336">
            <w:pPr>
              <w:pStyle w:val="Paragraphedeliste"/>
              <w:numPr>
                <w:ilvl w:val="0"/>
                <w:numId w:val="2"/>
              </w:numPr>
              <w:spacing w:before="240"/>
              <w:ind w:left="896" w:right="284" w:hanging="357"/>
            </w:pPr>
            <w:r w:rsidRPr="009B04C9">
              <w:rPr>
                <w:b/>
              </w:rPr>
              <w:t>A partir de 2020, seules les tiges en fibres de verre ou de carbone s</w:t>
            </w:r>
            <w:r w:rsidR="009B04C9">
              <w:rPr>
                <w:b/>
              </w:rPr>
              <w:t>er</w:t>
            </w:r>
            <w:r w:rsidRPr="009B04C9">
              <w:rPr>
                <w:b/>
              </w:rPr>
              <w:t>ont acceptées</w:t>
            </w:r>
            <w:r>
              <w:t xml:space="preserve">. </w:t>
            </w:r>
          </w:p>
        </w:tc>
      </w:tr>
    </w:tbl>
    <w:p w:rsidR="00DD3855" w:rsidRDefault="00DD3855" w:rsidP="00DD3855"/>
    <w:p w:rsidR="00E35187" w:rsidRDefault="00E35187" w:rsidP="00DD3855"/>
    <w:p w:rsidR="00E35187" w:rsidRDefault="00E35187" w:rsidP="00DD3855"/>
    <w:tbl>
      <w:tblPr>
        <w:tblW w:w="10126" w:type="dxa"/>
        <w:tblInd w:w="55" w:type="dxa"/>
        <w:tblCellMar>
          <w:left w:w="70" w:type="dxa"/>
          <w:right w:w="70" w:type="dxa"/>
        </w:tblCellMar>
        <w:tblLook w:val="04A0" w:firstRow="1" w:lastRow="0" w:firstColumn="1" w:lastColumn="0" w:noHBand="0" w:noVBand="1"/>
      </w:tblPr>
      <w:tblGrid>
        <w:gridCol w:w="5063"/>
        <w:gridCol w:w="5063"/>
      </w:tblGrid>
      <w:tr w:rsidR="003E08C1"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08C1" w:rsidRPr="00542DB6" w:rsidRDefault="003E08C1" w:rsidP="00A42400">
            <w:pPr>
              <w:pStyle w:val="Titre3"/>
              <w:rPr>
                <w:rFonts w:eastAsia="Times New Roman" w:cs="Arial"/>
                <w:color w:val="000000"/>
                <w:sz w:val="22"/>
                <w:lang w:eastAsia="fr-CA"/>
              </w:rPr>
            </w:pPr>
            <w:bookmarkStart w:id="15" w:name="_Toc13141730"/>
            <w:r>
              <w:lastRenderedPageBreak/>
              <w:t>Javelines</w:t>
            </w:r>
            <w:bookmarkEnd w:id="15"/>
          </w:p>
        </w:tc>
      </w:tr>
      <w:tr w:rsidR="003E08C1"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3E08C1" w:rsidP="00A42400">
            <w:pPr>
              <w:spacing w:before="240"/>
              <w:ind w:left="178"/>
              <w:jc w:val="center"/>
            </w:pPr>
            <w:r>
              <w:t>Longueur</w:t>
            </w:r>
          </w:p>
        </w:tc>
        <w:tc>
          <w:tcPr>
            <w:tcW w:w="5063" w:type="dxa"/>
            <w:tcBorders>
              <w:top w:val="single" w:sz="4" w:space="0" w:color="auto"/>
              <w:left w:val="nil"/>
              <w:bottom w:val="single" w:sz="4" w:space="0" w:color="auto"/>
              <w:right w:val="single" w:sz="4" w:space="0" w:color="auto"/>
            </w:tcBorders>
            <w:shd w:val="clear" w:color="auto" w:fill="auto"/>
            <w:noWrap/>
            <w:hideMark/>
          </w:tcPr>
          <w:p w:rsidR="003E08C1" w:rsidRDefault="003E08C1" w:rsidP="00A42400">
            <w:pPr>
              <w:pStyle w:val="Paragraphedeliste"/>
              <w:numPr>
                <w:ilvl w:val="0"/>
                <w:numId w:val="2"/>
              </w:numPr>
              <w:spacing w:before="240"/>
            </w:pPr>
            <w:r>
              <w:t>130 à 152 cm (51 à 60”)</w:t>
            </w:r>
          </w:p>
        </w:tc>
      </w:tr>
      <w:tr w:rsidR="003E08C1" w:rsidTr="00A42400">
        <w:trPr>
          <w:trHeight w:val="1837"/>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3E08C1" w:rsidP="00A42400">
            <w:r>
              <w:t xml:space="preserve">  </w:t>
            </w:r>
          </w:p>
          <w:p w:rsidR="003E08C1" w:rsidRDefault="003E08C1" w:rsidP="00A42400">
            <w:pPr>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3E08C1" w:rsidRDefault="003E08C1" w:rsidP="003E08C1">
            <w:pPr>
              <w:pStyle w:val="Paragraphedeliste"/>
              <w:numPr>
                <w:ilvl w:val="0"/>
                <w:numId w:val="2"/>
              </w:numPr>
              <w:spacing w:before="240"/>
              <w:ind w:left="896" w:right="284" w:hanging="357"/>
            </w:pPr>
            <w:r>
              <w:t xml:space="preserve">Les mêmes règles que pour les flèches s’appliquent avec l’exception des  restrictions de longueur. </w:t>
            </w:r>
          </w:p>
        </w:tc>
      </w:tr>
    </w:tbl>
    <w:p w:rsidR="00C3624D" w:rsidRDefault="00C3624D" w:rsidP="003E08C1">
      <w:pPr>
        <w:pStyle w:val="Titre3"/>
      </w:pPr>
    </w:p>
    <w:p w:rsidR="00C3624D" w:rsidRDefault="00C3624D" w:rsidP="003E08C1">
      <w:pPr>
        <w:pStyle w:val="Titre3"/>
      </w:pPr>
    </w:p>
    <w:p w:rsidR="00DD3855" w:rsidRDefault="00DD3855" w:rsidP="003E08C1">
      <w:pPr>
        <w:pStyle w:val="Titre3"/>
      </w:pPr>
      <w:bookmarkStart w:id="16" w:name="_Toc13141731"/>
      <w:r>
        <w:t>À noter</w:t>
      </w:r>
      <w:bookmarkEnd w:id="16"/>
      <w:r>
        <w:t xml:space="preserve"> </w:t>
      </w:r>
    </w:p>
    <w:p w:rsidR="00DD3855" w:rsidRDefault="00DD3855" w:rsidP="00DD3855">
      <w:r>
        <w:t xml:space="preserve"> </w:t>
      </w:r>
    </w:p>
    <w:p w:rsidR="003E08C1" w:rsidRDefault="00DD3855" w:rsidP="003E08C1">
      <w:pPr>
        <w:pStyle w:val="Paragraphedeliste"/>
        <w:numPr>
          <w:ilvl w:val="0"/>
          <w:numId w:val="2"/>
        </w:numPr>
      </w:pPr>
      <w:r>
        <w:t>Les seuls projectiles autorisés</w:t>
      </w:r>
      <w:r w:rsidR="003E08C1">
        <w:t xml:space="preserve"> sont les flèches, les carreaux et</w:t>
      </w:r>
      <w:r>
        <w:t xml:space="preserve"> les javelines</w:t>
      </w:r>
      <w:r w:rsidR="003E08C1">
        <w:t>.</w:t>
      </w:r>
      <w:r>
        <w:t xml:space="preserve"> </w:t>
      </w:r>
    </w:p>
    <w:p w:rsidR="003E08C1" w:rsidRDefault="00DD3855" w:rsidP="003E08C1">
      <w:pPr>
        <w:pStyle w:val="Paragraphedeliste"/>
        <w:numPr>
          <w:ilvl w:val="0"/>
          <w:numId w:val="2"/>
        </w:numPr>
      </w:pPr>
      <w:r>
        <w:t>Les projectiles ne sont pas conçus pour le combat corps à corps. Il est donc in</w:t>
      </w:r>
      <w:r w:rsidR="003E08C1">
        <w:t>terdit de les utiliser ainsi.</w:t>
      </w:r>
    </w:p>
    <w:p w:rsidR="003E08C1" w:rsidRDefault="00DD3855" w:rsidP="003E08C1">
      <w:pPr>
        <w:pStyle w:val="Paragraphedeliste"/>
        <w:numPr>
          <w:ilvl w:val="0"/>
          <w:numId w:val="2"/>
        </w:numPr>
      </w:pPr>
      <w:r>
        <w:t>Il est de votre responsabilité de vous assurer du bon état d’un proj</w:t>
      </w:r>
      <w:r w:rsidR="003E08C1">
        <w:t>ectile avant son utilisation.</w:t>
      </w:r>
    </w:p>
    <w:p w:rsidR="00DD3855" w:rsidRDefault="00DD3855" w:rsidP="003E08C1">
      <w:pPr>
        <w:pStyle w:val="Paragraphedeliste"/>
        <w:numPr>
          <w:ilvl w:val="0"/>
          <w:numId w:val="2"/>
        </w:numPr>
      </w:pPr>
      <w:r>
        <w:t xml:space="preserve">Il est de votre responsabilité de vous assurer que les pointes en métal des flèches/carreaux que vous achetez/utilisez ont été enlevées et que le squelette est sécurisé adéquatement. Les </w:t>
      </w:r>
      <w:proofErr w:type="spellStart"/>
      <w:r>
        <w:t>homologateurs</w:t>
      </w:r>
      <w:proofErr w:type="spellEnd"/>
      <w:r>
        <w:t xml:space="preserve"> et les </w:t>
      </w:r>
      <w:r w:rsidR="009B04C9">
        <w:t>organisateurs</w:t>
      </w:r>
      <w:r>
        <w:t xml:space="preserve"> peuvent à tout moment saisir une flèche/carreau et l’ouvrir</w:t>
      </w:r>
      <w:r w:rsidR="003E08C1">
        <w:t xml:space="preserve"> pour vérifier sa fabrication. </w:t>
      </w:r>
    </w:p>
    <w:p w:rsidR="00DD3855" w:rsidRDefault="00DD3855" w:rsidP="00DD3855">
      <w:r>
        <w:t xml:space="preserve"> </w:t>
      </w:r>
    </w:p>
    <w:p w:rsidR="00DD3855" w:rsidRDefault="00DD3855" w:rsidP="00DD3855"/>
    <w:p w:rsidR="00E35187" w:rsidRDefault="00E35187" w:rsidP="00DD3855"/>
    <w:p w:rsidR="00E35187" w:rsidRDefault="00E35187" w:rsidP="00DD3855"/>
    <w:p w:rsidR="00E35187" w:rsidRDefault="00E35187" w:rsidP="00DD3855"/>
    <w:p w:rsidR="00E35187" w:rsidRDefault="00E35187" w:rsidP="00DD3855"/>
    <w:p w:rsidR="00E35187" w:rsidRDefault="00E35187" w:rsidP="00DD3855"/>
    <w:p w:rsidR="00E35187" w:rsidRDefault="00E35187" w:rsidP="00DD3855"/>
    <w:p w:rsidR="00DD3855" w:rsidRDefault="00DD3855" w:rsidP="003E08C1">
      <w:pPr>
        <w:pStyle w:val="Titre2"/>
      </w:pPr>
      <w:bookmarkStart w:id="17" w:name="_Toc13141732"/>
      <w:r>
        <w:lastRenderedPageBreak/>
        <w:t>Boucliers</w:t>
      </w:r>
      <w:bookmarkEnd w:id="17"/>
      <w:r>
        <w:t xml:space="preserve"> </w:t>
      </w:r>
    </w:p>
    <w:p w:rsidR="00DD3855" w:rsidRDefault="00DD3855" w:rsidP="00DD3855">
      <w:r>
        <w:t xml:space="preserve"> </w:t>
      </w:r>
    </w:p>
    <w:tbl>
      <w:tblPr>
        <w:tblW w:w="10126" w:type="dxa"/>
        <w:tblInd w:w="55" w:type="dxa"/>
        <w:tblCellMar>
          <w:left w:w="70" w:type="dxa"/>
          <w:right w:w="70" w:type="dxa"/>
        </w:tblCellMar>
        <w:tblLook w:val="04A0" w:firstRow="1" w:lastRow="0" w:firstColumn="1" w:lastColumn="0" w:noHBand="0" w:noVBand="1"/>
      </w:tblPr>
      <w:tblGrid>
        <w:gridCol w:w="5063"/>
        <w:gridCol w:w="5063"/>
      </w:tblGrid>
      <w:tr w:rsidR="003E08C1" w:rsidRPr="00542DB6" w:rsidTr="00A42400">
        <w:trPr>
          <w:trHeight w:val="468"/>
        </w:trPr>
        <w:tc>
          <w:tcPr>
            <w:tcW w:w="10126"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E08C1" w:rsidRPr="00542DB6" w:rsidRDefault="003E08C1" w:rsidP="00A42400">
            <w:pPr>
              <w:pStyle w:val="Titre3"/>
              <w:rPr>
                <w:rFonts w:eastAsia="Times New Roman" w:cs="Arial"/>
                <w:color w:val="000000"/>
                <w:sz w:val="22"/>
                <w:lang w:eastAsia="fr-CA"/>
              </w:rPr>
            </w:pPr>
            <w:bookmarkStart w:id="18" w:name="_Toc13141733"/>
            <w:r>
              <w:t>Boucliers</w:t>
            </w:r>
            <w:bookmarkEnd w:id="18"/>
          </w:p>
        </w:tc>
      </w:tr>
      <w:tr w:rsidR="003E08C1" w:rsidTr="00A42400">
        <w:trPr>
          <w:trHeight w:val="468"/>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FB7DE2" w:rsidP="00A42400">
            <w:pPr>
              <w:spacing w:before="240"/>
              <w:ind w:left="178"/>
              <w:jc w:val="center"/>
            </w:pPr>
            <w:r>
              <w:t>Superficie</w:t>
            </w:r>
          </w:p>
        </w:tc>
        <w:tc>
          <w:tcPr>
            <w:tcW w:w="5063" w:type="dxa"/>
            <w:tcBorders>
              <w:top w:val="single" w:sz="4" w:space="0" w:color="auto"/>
              <w:left w:val="nil"/>
              <w:bottom w:val="single" w:sz="4" w:space="0" w:color="auto"/>
              <w:right w:val="single" w:sz="4" w:space="0" w:color="auto"/>
            </w:tcBorders>
            <w:shd w:val="clear" w:color="auto" w:fill="auto"/>
            <w:noWrap/>
            <w:hideMark/>
          </w:tcPr>
          <w:p w:rsidR="003E08C1" w:rsidRDefault="00FB7DE2" w:rsidP="00A42400">
            <w:pPr>
              <w:pStyle w:val="Paragraphedeliste"/>
              <w:numPr>
                <w:ilvl w:val="0"/>
                <w:numId w:val="2"/>
              </w:numPr>
              <w:spacing w:before="240"/>
            </w:pPr>
            <w:r>
              <w:t>0 à 1,12 m2 (12 pieds carré)</w:t>
            </w:r>
          </w:p>
        </w:tc>
      </w:tr>
      <w:tr w:rsidR="003E08C1" w:rsidTr="00A42400">
        <w:trPr>
          <w:trHeight w:val="1837"/>
        </w:trPr>
        <w:tc>
          <w:tcPr>
            <w:tcW w:w="5063" w:type="dxa"/>
            <w:tcBorders>
              <w:top w:val="nil"/>
              <w:left w:val="single" w:sz="4" w:space="0" w:color="auto"/>
              <w:bottom w:val="single" w:sz="4" w:space="0" w:color="auto"/>
              <w:right w:val="single" w:sz="4" w:space="0" w:color="auto"/>
            </w:tcBorders>
            <w:shd w:val="clear" w:color="auto" w:fill="auto"/>
            <w:noWrap/>
            <w:hideMark/>
          </w:tcPr>
          <w:p w:rsidR="003E08C1" w:rsidRDefault="003E08C1" w:rsidP="00A42400">
            <w:r>
              <w:t xml:space="preserve">  </w:t>
            </w:r>
          </w:p>
          <w:p w:rsidR="00FB7DE2" w:rsidRDefault="00FB7DE2" w:rsidP="00A42400">
            <w:pPr>
              <w:jc w:val="center"/>
            </w:pPr>
          </w:p>
          <w:p w:rsidR="00FB7DE2" w:rsidRDefault="00FB7DE2" w:rsidP="00A42400">
            <w:pPr>
              <w:jc w:val="center"/>
            </w:pPr>
          </w:p>
          <w:p w:rsidR="003E08C1" w:rsidRDefault="003E08C1" w:rsidP="00A42400">
            <w:pPr>
              <w:jc w:val="center"/>
            </w:pPr>
            <w:r>
              <w:t>Homologation</w:t>
            </w:r>
          </w:p>
        </w:tc>
        <w:tc>
          <w:tcPr>
            <w:tcW w:w="5063" w:type="dxa"/>
            <w:tcBorders>
              <w:top w:val="single" w:sz="4" w:space="0" w:color="auto"/>
              <w:left w:val="nil"/>
              <w:bottom w:val="single" w:sz="4" w:space="0" w:color="auto"/>
              <w:right w:val="single" w:sz="4" w:space="0" w:color="auto"/>
            </w:tcBorders>
            <w:shd w:val="clear" w:color="auto" w:fill="auto"/>
            <w:noWrap/>
            <w:hideMark/>
          </w:tcPr>
          <w:p w:rsidR="00FB7DE2" w:rsidRDefault="00FB7DE2" w:rsidP="00FB7DE2">
            <w:pPr>
              <w:pStyle w:val="Paragraphedeliste"/>
              <w:numPr>
                <w:ilvl w:val="0"/>
                <w:numId w:val="2"/>
              </w:numPr>
              <w:spacing w:before="240"/>
              <w:ind w:right="284"/>
            </w:pPr>
            <w:r>
              <w:t xml:space="preserve">Le rebord et/ou contour doit avoir un fini rond de 2cm (3/4”) de diamètre ou être rembourré de mousse. </w:t>
            </w:r>
          </w:p>
          <w:p w:rsidR="00FB7DE2" w:rsidRDefault="00FB7DE2" w:rsidP="00FB7DE2">
            <w:pPr>
              <w:pStyle w:val="Paragraphedeliste"/>
              <w:numPr>
                <w:ilvl w:val="0"/>
                <w:numId w:val="2"/>
              </w:numPr>
              <w:spacing w:before="240"/>
              <w:ind w:right="284"/>
            </w:pPr>
            <w:r>
              <w:t xml:space="preserve">Le rebord et/ou contour ne doit pas avoir de tranchant ou de protubérance dangereuse et/ou qui pourrait endommager les armes.  </w:t>
            </w:r>
          </w:p>
          <w:p w:rsidR="003E08C1" w:rsidRDefault="00FB7DE2" w:rsidP="00FB7DE2">
            <w:pPr>
              <w:pStyle w:val="Paragraphedeliste"/>
              <w:numPr>
                <w:ilvl w:val="0"/>
                <w:numId w:val="2"/>
              </w:numPr>
              <w:spacing w:before="240"/>
              <w:ind w:right="284"/>
            </w:pPr>
            <w:r>
              <w:t>Doit avoir une apparence appropriée pour être facilement reconnaissable en tant que bouclier.</w:t>
            </w:r>
          </w:p>
        </w:tc>
      </w:tr>
    </w:tbl>
    <w:p w:rsidR="009D4FBD" w:rsidRDefault="009D4FBD" w:rsidP="00DD3855"/>
    <w:sectPr w:rsidR="009D4FBD" w:rsidSect="00F57336">
      <w:headerReference w:type="default" r:id="rId12"/>
      <w:footerReference w:type="default" r:id="rId13"/>
      <w:pgSz w:w="12240" w:h="15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00" w:rsidRDefault="00A42400" w:rsidP="00DD3855">
      <w:pPr>
        <w:spacing w:after="0" w:line="240" w:lineRule="auto"/>
      </w:pPr>
      <w:r>
        <w:separator/>
      </w:r>
    </w:p>
  </w:endnote>
  <w:endnote w:type="continuationSeparator" w:id="0">
    <w:p w:rsidR="00A42400" w:rsidRDefault="00A42400" w:rsidP="00DD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85753"/>
      <w:docPartObj>
        <w:docPartGallery w:val="Page Numbers (Bottom of Page)"/>
        <w:docPartUnique/>
      </w:docPartObj>
    </w:sdtPr>
    <w:sdtEndPr/>
    <w:sdtContent>
      <w:p w:rsidR="00A42400" w:rsidRDefault="00F57336" w:rsidP="00F57336">
        <w:pPr>
          <w:pStyle w:val="Pieddepage"/>
          <w:jc w:val="center"/>
        </w:pPr>
        <w:r>
          <w:rPr>
            <w:noProof/>
            <w:lang w:eastAsia="fr-CA"/>
          </w:rPr>
          <w:drawing>
            <wp:inline distT="0" distB="0" distL="0" distR="0" wp14:anchorId="560B8DDB" wp14:editId="144DFF73">
              <wp:extent cx="4933950" cy="5762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DJ.png"/>
                      <pic:cNvPicPr/>
                    </pic:nvPicPr>
                    <pic:blipFill>
                      <a:blip r:embed="rId1">
                        <a:extLst>
                          <a:ext uri="{28A0092B-C50C-407E-A947-70E740481C1C}">
                            <a14:useLocalDpi xmlns:a14="http://schemas.microsoft.com/office/drawing/2010/main" val="0"/>
                          </a:ext>
                        </a:extLst>
                      </a:blip>
                      <a:stretch>
                        <a:fillRect/>
                      </a:stretch>
                    </pic:blipFill>
                    <pic:spPr>
                      <a:xfrm>
                        <a:off x="0" y="0"/>
                        <a:ext cx="4933333" cy="576214"/>
                      </a:xfrm>
                      <a:prstGeom prst="rect">
                        <a:avLst/>
                      </a:prstGeom>
                    </pic:spPr>
                  </pic:pic>
                </a:graphicData>
              </a:graphic>
            </wp:inline>
          </w:drawing>
        </w:r>
        <w:r w:rsidR="00A42400">
          <w:rPr>
            <w:noProof/>
            <w:lang w:eastAsia="fr-CA"/>
          </w:rPr>
          <mc:AlternateContent>
            <mc:Choice Requires="wps">
              <w:drawing>
                <wp:anchor distT="0" distB="0" distL="114300" distR="114300" simplePos="0" relativeHeight="251659264" behindDoc="0" locked="0" layoutInCell="1" allowOverlap="1" wp14:anchorId="0F4DA00B" wp14:editId="3001817E">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00" w:rsidRDefault="00A42400" w:rsidP="00DD3855">
      <w:pPr>
        <w:spacing w:after="0" w:line="240" w:lineRule="auto"/>
      </w:pPr>
      <w:r>
        <w:separator/>
      </w:r>
    </w:p>
  </w:footnote>
  <w:footnote w:type="continuationSeparator" w:id="0">
    <w:p w:rsidR="00A42400" w:rsidRDefault="00A42400" w:rsidP="00DD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14829"/>
      <w:docPartObj>
        <w:docPartGallery w:val="Page Numbers (Top of Page)"/>
        <w:docPartUnique/>
      </w:docPartObj>
    </w:sdtPr>
    <w:sdtEndPr>
      <w:rPr>
        <w:color w:val="808080" w:themeColor="background1" w:themeShade="80"/>
        <w:spacing w:val="60"/>
        <w:lang w:val="fr-FR"/>
      </w:rPr>
    </w:sdtEndPr>
    <w:sdtContent>
      <w:p w:rsidR="00F57336" w:rsidRDefault="00F57336">
        <w:pPr>
          <w:pStyle w:val="En-tte"/>
          <w:pBdr>
            <w:bottom w:val="single" w:sz="4" w:space="1" w:color="D9D9D9" w:themeColor="background1" w:themeShade="D9"/>
          </w:pBdr>
          <w:rPr>
            <w:b/>
            <w:bCs/>
          </w:rPr>
        </w:pPr>
        <w:r>
          <w:fldChar w:fldCharType="begin"/>
        </w:r>
        <w:r>
          <w:instrText>PAGE   \* MERGEFORMAT</w:instrText>
        </w:r>
        <w:r>
          <w:fldChar w:fldCharType="separate"/>
        </w:r>
        <w:r w:rsidRPr="00F57336">
          <w:rPr>
            <w:b/>
            <w:bCs/>
            <w:noProof/>
            <w:lang w:val="fr-FR"/>
          </w:rPr>
          <w:t>5</w:t>
        </w:r>
        <w:r>
          <w:rPr>
            <w:b/>
            <w:bCs/>
          </w:rPr>
          <w:fldChar w:fldCharType="end"/>
        </w:r>
        <w:r>
          <w:rPr>
            <w:b/>
            <w:bCs/>
            <w:lang w:val="fr-FR"/>
          </w:rPr>
          <w:t xml:space="preserve"> | </w:t>
        </w:r>
        <w:r>
          <w:rPr>
            <w:color w:val="808080" w:themeColor="background1" w:themeShade="80"/>
            <w:spacing w:val="60"/>
            <w:lang w:val="fr-FR"/>
          </w:rPr>
          <w:t>Page</w:t>
        </w:r>
      </w:p>
    </w:sdtContent>
  </w:sdt>
  <w:p w:rsidR="00FD495C" w:rsidRDefault="00FD49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44B0"/>
    <w:multiLevelType w:val="hybridMultilevel"/>
    <w:tmpl w:val="99D29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B482133"/>
    <w:multiLevelType w:val="hybridMultilevel"/>
    <w:tmpl w:val="CEBA47BE"/>
    <w:lvl w:ilvl="0" w:tplc="0C0C0001">
      <w:start w:val="1"/>
      <w:numFmt w:val="bullet"/>
      <w:lvlText w:val=""/>
      <w:lvlJc w:val="left"/>
      <w:pPr>
        <w:ind w:left="898" w:hanging="360"/>
      </w:pPr>
      <w:rPr>
        <w:rFonts w:ascii="Symbol" w:hAnsi="Symbol" w:hint="default"/>
      </w:rPr>
    </w:lvl>
    <w:lvl w:ilvl="1" w:tplc="0C0C0003" w:tentative="1">
      <w:start w:val="1"/>
      <w:numFmt w:val="bullet"/>
      <w:lvlText w:val="o"/>
      <w:lvlJc w:val="left"/>
      <w:pPr>
        <w:ind w:left="1618" w:hanging="360"/>
      </w:pPr>
      <w:rPr>
        <w:rFonts w:ascii="Courier New" w:hAnsi="Courier New" w:cs="Courier New" w:hint="default"/>
      </w:rPr>
    </w:lvl>
    <w:lvl w:ilvl="2" w:tplc="0C0C0005" w:tentative="1">
      <w:start w:val="1"/>
      <w:numFmt w:val="bullet"/>
      <w:lvlText w:val=""/>
      <w:lvlJc w:val="left"/>
      <w:pPr>
        <w:ind w:left="2338" w:hanging="360"/>
      </w:pPr>
      <w:rPr>
        <w:rFonts w:ascii="Wingdings" w:hAnsi="Wingdings" w:hint="default"/>
      </w:rPr>
    </w:lvl>
    <w:lvl w:ilvl="3" w:tplc="0C0C0001" w:tentative="1">
      <w:start w:val="1"/>
      <w:numFmt w:val="bullet"/>
      <w:lvlText w:val=""/>
      <w:lvlJc w:val="left"/>
      <w:pPr>
        <w:ind w:left="3058" w:hanging="360"/>
      </w:pPr>
      <w:rPr>
        <w:rFonts w:ascii="Symbol" w:hAnsi="Symbol" w:hint="default"/>
      </w:rPr>
    </w:lvl>
    <w:lvl w:ilvl="4" w:tplc="0C0C0003" w:tentative="1">
      <w:start w:val="1"/>
      <w:numFmt w:val="bullet"/>
      <w:lvlText w:val="o"/>
      <w:lvlJc w:val="left"/>
      <w:pPr>
        <w:ind w:left="3778" w:hanging="360"/>
      </w:pPr>
      <w:rPr>
        <w:rFonts w:ascii="Courier New" w:hAnsi="Courier New" w:cs="Courier New" w:hint="default"/>
      </w:rPr>
    </w:lvl>
    <w:lvl w:ilvl="5" w:tplc="0C0C0005" w:tentative="1">
      <w:start w:val="1"/>
      <w:numFmt w:val="bullet"/>
      <w:lvlText w:val=""/>
      <w:lvlJc w:val="left"/>
      <w:pPr>
        <w:ind w:left="4498" w:hanging="360"/>
      </w:pPr>
      <w:rPr>
        <w:rFonts w:ascii="Wingdings" w:hAnsi="Wingdings" w:hint="default"/>
      </w:rPr>
    </w:lvl>
    <w:lvl w:ilvl="6" w:tplc="0C0C0001" w:tentative="1">
      <w:start w:val="1"/>
      <w:numFmt w:val="bullet"/>
      <w:lvlText w:val=""/>
      <w:lvlJc w:val="left"/>
      <w:pPr>
        <w:ind w:left="5218" w:hanging="360"/>
      </w:pPr>
      <w:rPr>
        <w:rFonts w:ascii="Symbol" w:hAnsi="Symbol" w:hint="default"/>
      </w:rPr>
    </w:lvl>
    <w:lvl w:ilvl="7" w:tplc="0C0C0003" w:tentative="1">
      <w:start w:val="1"/>
      <w:numFmt w:val="bullet"/>
      <w:lvlText w:val="o"/>
      <w:lvlJc w:val="left"/>
      <w:pPr>
        <w:ind w:left="5938" w:hanging="360"/>
      </w:pPr>
      <w:rPr>
        <w:rFonts w:ascii="Courier New" w:hAnsi="Courier New" w:cs="Courier New" w:hint="default"/>
      </w:rPr>
    </w:lvl>
    <w:lvl w:ilvl="8" w:tplc="0C0C0005" w:tentative="1">
      <w:start w:val="1"/>
      <w:numFmt w:val="bullet"/>
      <w:lvlText w:val=""/>
      <w:lvlJc w:val="left"/>
      <w:pPr>
        <w:ind w:left="6658" w:hanging="360"/>
      </w:pPr>
      <w:rPr>
        <w:rFonts w:ascii="Wingdings" w:hAnsi="Wingdings" w:hint="default"/>
      </w:rPr>
    </w:lvl>
  </w:abstractNum>
  <w:abstractNum w:abstractNumId="2">
    <w:nsid w:val="5CD80356"/>
    <w:multiLevelType w:val="hybridMultilevel"/>
    <w:tmpl w:val="726647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A527E5E"/>
    <w:multiLevelType w:val="hybridMultilevel"/>
    <w:tmpl w:val="82045D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55"/>
    <w:rsid w:val="000E6E87"/>
    <w:rsid w:val="00352DFF"/>
    <w:rsid w:val="003E08C1"/>
    <w:rsid w:val="0051781C"/>
    <w:rsid w:val="00542DB6"/>
    <w:rsid w:val="005B18F1"/>
    <w:rsid w:val="00784293"/>
    <w:rsid w:val="009B04C9"/>
    <w:rsid w:val="009D4FBD"/>
    <w:rsid w:val="00A254CB"/>
    <w:rsid w:val="00A42400"/>
    <w:rsid w:val="00AB3E56"/>
    <w:rsid w:val="00C3624D"/>
    <w:rsid w:val="00DD3855"/>
    <w:rsid w:val="00E35187"/>
    <w:rsid w:val="00E678DB"/>
    <w:rsid w:val="00E94EE5"/>
    <w:rsid w:val="00F42B94"/>
    <w:rsid w:val="00F57336"/>
    <w:rsid w:val="00FB7DE2"/>
    <w:rsid w:val="00FD49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F1"/>
    <w:pPr>
      <w:jc w:val="both"/>
    </w:pPr>
    <w:rPr>
      <w:rFonts w:ascii="Arial" w:hAnsi="Arial"/>
      <w:sz w:val="24"/>
    </w:rPr>
  </w:style>
  <w:style w:type="paragraph" w:styleId="Titre1">
    <w:name w:val="heading 1"/>
    <w:basedOn w:val="Normal"/>
    <w:next w:val="Normal"/>
    <w:link w:val="Titre1Car"/>
    <w:uiPriority w:val="9"/>
    <w:qFormat/>
    <w:rsid w:val="00DD3855"/>
    <w:pPr>
      <w:keepNext/>
      <w:keepLines/>
      <w:spacing w:before="480" w:after="0"/>
      <w:jc w:val="center"/>
      <w:outlineLvl w:val="0"/>
    </w:pPr>
    <w:rPr>
      <w:rFonts w:eastAsiaTheme="majorEastAsia" w:cstheme="majorBidi"/>
      <w:b/>
      <w:bCs/>
      <w:color w:val="000000" w:themeColor="text1"/>
      <w:sz w:val="36"/>
      <w:szCs w:val="28"/>
    </w:rPr>
  </w:style>
  <w:style w:type="paragraph" w:styleId="Titre2">
    <w:name w:val="heading 2"/>
    <w:basedOn w:val="Normal"/>
    <w:next w:val="Normal"/>
    <w:link w:val="Titre2Car"/>
    <w:uiPriority w:val="9"/>
    <w:unhideWhenUsed/>
    <w:qFormat/>
    <w:rsid w:val="00A254CB"/>
    <w:pPr>
      <w:keepNext/>
      <w:keepLines/>
      <w:spacing w:before="200" w:after="0"/>
      <w:jc w:val="center"/>
      <w:outlineLvl w:val="1"/>
    </w:pPr>
    <w:rPr>
      <w:rFonts w:eastAsiaTheme="majorEastAsia" w:cstheme="majorBidi"/>
      <w:b/>
      <w:bCs/>
      <w:color w:val="000000" w:themeColor="text1"/>
      <w:sz w:val="28"/>
      <w:szCs w:val="26"/>
      <w:u w:val="single"/>
    </w:rPr>
  </w:style>
  <w:style w:type="paragraph" w:styleId="Titre3">
    <w:name w:val="heading 3"/>
    <w:basedOn w:val="Normal"/>
    <w:next w:val="Normal"/>
    <w:link w:val="Titre3Car"/>
    <w:uiPriority w:val="9"/>
    <w:unhideWhenUsed/>
    <w:qFormat/>
    <w:rsid w:val="00E678DB"/>
    <w:pPr>
      <w:keepNext/>
      <w:keepLines/>
      <w:spacing w:before="200" w:after="0"/>
      <w:jc w:val="center"/>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855"/>
    <w:rPr>
      <w:rFonts w:ascii="Arial" w:eastAsiaTheme="majorEastAsia" w:hAnsi="Arial" w:cstheme="majorBidi"/>
      <w:b/>
      <w:bCs/>
      <w:color w:val="000000" w:themeColor="text1"/>
      <w:sz w:val="36"/>
      <w:szCs w:val="28"/>
    </w:rPr>
  </w:style>
  <w:style w:type="character" w:customStyle="1" w:styleId="Titre2Car">
    <w:name w:val="Titre 2 Car"/>
    <w:basedOn w:val="Policepardfaut"/>
    <w:link w:val="Titre2"/>
    <w:uiPriority w:val="9"/>
    <w:rsid w:val="00A254CB"/>
    <w:rPr>
      <w:rFonts w:ascii="Arial" w:eastAsiaTheme="majorEastAsia" w:hAnsi="Arial" w:cstheme="majorBidi"/>
      <w:b/>
      <w:bCs/>
      <w:color w:val="000000" w:themeColor="text1"/>
      <w:sz w:val="28"/>
      <w:szCs w:val="26"/>
      <w:u w:val="single"/>
    </w:rPr>
  </w:style>
  <w:style w:type="paragraph" w:styleId="En-tte">
    <w:name w:val="header"/>
    <w:basedOn w:val="Normal"/>
    <w:link w:val="En-tteCar"/>
    <w:uiPriority w:val="99"/>
    <w:unhideWhenUsed/>
    <w:rsid w:val="00DD3855"/>
    <w:pPr>
      <w:tabs>
        <w:tab w:val="center" w:pos="4320"/>
        <w:tab w:val="right" w:pos="8640"/>
      </w:tabs>
      <w:spacing w:after="0" w:line="240" w:lineRule="auto"/>
    </w:pPr>
  </w:style>
  <w:style w:type="character" w:customStyle="1" w:styleId="En-tteCar">
    <w:name w:val="En-tête Car"/>
    <w:basedOn w:val="Policepardfaut"/>
    <w:link w:val="En-tte"/>
    <w:uiPriority w:val="99"/>
    <w:rsid w:val="00DD3855"/>
  </w:style>
  <w:style w:type="paragraph" w:styleId="Pieddepage">
    <w:name w:val="footer"/>
    <w:basedOn w:val="Normal"/>
    <w:link w:val="PieddepageCar"/>
    <w:uiPriority w:val="99"/>
    <w:unhideWhenUsed/>
    <w:rsid w:val="00DD38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3855"/>
  </w:style>
  <w:style w:type="paragraph" w:styleId="Textedebulles">
    <w:name w:val="Balloon Text"/>
    <w:basedOn w:val="Normal"/>
    <w:link w:val="TextedebullesCar"/>
    <w:uiPriority w:val="99"/>
    <w:semiHidden/>
    <w:unhideWhenUsed/>
    <w:rsid w:val="00DD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855"/>
    <w:rPr>
      <w:rFonts w:ascii="Tahoma" w:hAnsi="Tahoma" w:cs="Tahoma"/>
      <w:sz w:val="16"/>
      <w:szCs w:val="16"/>
    </w:rPr>
  </w:style>
  <w:style w:type="character" w:customStyle="1" w:styleId="Titre3Car">
    <w:name w:val="Titre 3 Car"/>
    <w:basedOn w:val="Policepardfaut"/>
    <w:link w:val="Titre3"/>
    <w:uiPriority w:val="9"/>
    <w:rsid w:val="00E678DB"/>
    <w:rPr>
      <w:rFonts w:ascii="Arial" w:eastAsiaTheme="majorEastAsia" w:hAnsi="Arial" w:cstheme="majorBidi"/>
      <w:b/>
      <w:bCs/>
      <w:color w:val="000000" w:themeColor="text1"/>
      <w:sz w:val="24"/>
    </w:rPr>
  </w:style>
  <w:style w:type="paragraph" w:styleId="En-ttedetabledesmatires">
    <w:name w:val="TOC Heading"/>
    <w:basedOn w:val="Titre1"/>
    <w:next w:val="Normal"/>
    <w:uiPriority w:val="39"/>
    <w:semiHidden/>
    <w:unhideWhenUsed/>
    <w:qFormat/>
    <w:rsid w:val="00DD3855"/>
    <w:pPr>
      <w:jc w:val="left"/>
      <w:outlineLvl w:val="9"/>
    </w:pPr>
    <w:rPr>
      <w:rFonts w:asciiTheme="majorHAnsi" w:hAnsiTheme="majorHAnsi"/>
      <w:color w:val="365F91" w:themeColor="accent1" w:themeShade="BF"/>
      <w:sz w:val="28"/>
      <w:lang w:eastAsia="fr-CA"/>
    </w:rPr>
  </w:style>
  <w:style w:type="paragraph" w:styleId="TM1">
    <w:name w:val="toc 1"/>
    <w:basedOn w:val="Normal"/>
    <w:next w:val="Normal"/>
    <w:autoRedefine/>
    <w:uiPriority w:val="39"/>
    <w:unhideWhenUsed/>
    <w:rsid w:val="00DD3855"/>
    <w:pPr>
      <w:spacing w:after="100"/>
    </w:pPr>
  </w:style>
  <w:style w:type="paragraph" w:styleId="TM2">
    <w:name w:val="toc 2"/>
    <w:basedOn w:val="Normal"/>
    <w:next w:val="Normal"/>
    <w:autoRedefine/>
    <w:uiPriority w:val="39"/>
    <w:unhideWhenUsed/>
    <w:rsid w:val="00DD3855"/>
    <w:pPr>
      <w:spacing w:after="100"/>
      <w:ind w:left="220"/>
    </w:pPr>
  </w:style>
  <w:style w:type="character" w:styleId="Lienhypertexte">
    <w:name w:val="Hyperlink"/>
    <w:basedOn w:val="Policepardfaut"/>
    <w:uiPriority w:val="99"/>
    <w:unhideWhenUsed/>
    <w:rsid w:val="00DD3855"/>
    <w:rPr>
      <w:color w:val="0000FF" w:themeColor="hyperlink"/>
      <w:u w:val="single"/>
    </w:rPr>
  </w:style>
  <w:style w:type="paragraph" w:styleId="Paragraphedeliste">
    <w:name w:val="List Paragraph"/>
    <w:basedOn w:val="Normal"/>
    <w:uiPriority w:val="34"/>
    <w:qFormat/>
    <w:rsid w:val="005B18F1"/>
    <w:pPr>
      <w:ind w:left="720"/>
      <w:contextualSpacing/>
    </w:pPr>
  </w:style>
  <w:style w:type="table" w:styleId="Grilledutableau">
    <w:name w:val="Table Grid"/>
    <w:basedOn w:val="TableauNormal"/>
    <w:uiPriority w:val="59"/>
    <w:rsid w:val="005B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E678D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F1"/>
    <w:pPr>
      <w:jc w:val="both"/>
    </w:pPr>
    <w:rPr>
      <w:rFonts w:ascii="Arial" w:hAnsi="Arial"/>
      <w:sz w:val="24"/>
    </w:rPr>
  </w:style>
  <w:style w:type="paragraph" w:styleId="Titre1">
    <w:name w:val="heading 1"/>
    <w:basedOn w:val="Normal"/>
    <w:next w:val="Normal"/>
    <w:link w:val="Titre1Car"/>
    <w:uiPriority w:val="9"/>
    <w:qFormat/>
    <w:rsid w:val="00DD3855"/>
    <w:pPr>
      <w:keepNext/>
      <w:keepLines/>
      <w:spacing w:before="480" w:after="0"/>
      <w:jc w:val="center"/>
      <w:outlineLvl w:val="0"/>
    </w:pPr>
    <w:rPr>
      <w:rFonts w:eastAsiaTheme="majorEastAsia" w:cstheme="majorBidi"/>
      <w:b/>
      <w:bCs/>
      <w:color w:val="000000" w:themeColor="text1"/>
      <w:sz w:val="36"/>
      <w:szCs w:val="28"/>
    </w:rPr>
  </w:style>
  <w:style w:type="paragraph" w:styleId="Titre2">
    <w:name w:val="heading 2"/>
    <w:basedOn w:val="Normal"/>
    <w:next w:val="Normal"/>
    <w:link w:val="Titre2Car"/>
    <w:uiPriority w:val="9"/>
    <w:unhideWhenUsed/>
    <w:qFormat/>
    <w:rsid w:val="00A254CB"/>
    <w:pPr>
      <w:keepNext/>
      <w:keepLines/>
      <w:spacing w:before="200" w:after="0"/>
      <w:jc w:val="center"/>
      <w:outlineLvl w:val="1"/>
    </w:pPr>
    <w:rPr>
      <w:rFonts w:eastAsiaTheme="majorEastAsia" w:cstheme="majorBidi"/>
      <w:b/>
      <w:bCs/>
      <w:color w:val="000000" w:themeColor="text1"/>
      <w:sz w:val="28"/>
      <w:szCs w:val="26"/>
      <w:u w:val="single"/>
    </w:rPr>
  </w:style>
  <w:style w:type="paragraph" w:styleId="Titre3">
    <w:name w:val="heading 3"/>
    <w:basedOn w:val="Normal"/>
    <w:next w:val="Normal"/>
    <w:link w:val="Titre3Car"/>
    <w:uiPriority w:val="9"/>
    <w:unhideWhenUsed/>
    <w:qFormat/>
    <w:rsid w:val="00E678DB"/>
    <w:pPr>
      <w:keepNext/>
      <w:keepLines/>
      <w:spacing w:before="200" w:after="0"/>
      <w:jc w:val="center"/>
      <w:outlineLvl w:val="2"/>
    </w:pPr>
    <w:rPr>
      <w:rFonts w:eastAsiaTheme="majorEastAsia"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855"/>
    <w:rPr>
      <w:rFonts w:ascii="Arial" w:eastAsiaTheme="majorEastAsia" w:hAnsi="Arial" w:cstheme="majorBidi"/>
      <w:b/>
      <w:bCs/>
      <w:color w:val="000000" w:themeColor="text1"/>
      <w:sz w:val="36"/>
      <w:szCs w:val="28"/>
    </w:rPr>
  </w:style>
  <w:style w:type="character" w:customStyle="1" w:styleId="Titre2Car">
    <w:name w:val="Titre 2 Car"/>
    <w:basedOn w:val="Policepardfaut"/>
    <w:link w:val="Titre2"/>
    <w:uiPriority w:val="9"/>
    <w:rsid w:val="00A254CB"/>
    <w:rPr>
      <w:rFonts w:ascii="Arial" w:eastAsiaTheme="majorEastAsia" w:hAnsi="Arial" w:cstheme="majorBidi"/>
      <w:b/>
      <w:bCs/>
      <w:color w:val="000000" w:themeColor="text1"/>
      <w:sz w:val="28"/>
      <w:szCs w:val="26"/>
      <w:u w:val="single"/>
    </w:rPr>
  </w:style>
  <w:style w:type="paragraph" w:styleId="En-tte">
    <w:name w:val="header"/>
    <w:basedOn w:val="Normal"/>
    <w:link w:val="En-tteCar"/>
    <w:uiPriority w:val="99"/>
    <w:unhideWhenUsed/>
    <w:rsid w:val="00DD3855"/>
    <w:pPr>
      <w:tabs>
        <w:tab w:val="center" w:pos="4320"/>
        <w:tab w:val="right" w:pos="8640"/>
      </w:tabs>
      <w:spacing w:after="0" w:line="240" w:lineRule="auto"/>
    </w:pPr>
  </w:style>
  <w:style w:type="character" w:customStyle="1" w:styleId="En-tteCar">
    <w:name w:val="En-tête Car"/>
    <w:basedOn w:val="Policepardfaut"/>
    <w:link w:val="En-tte"/>
    <w:uiPriority w:val="99"/>
    <w:rsid w:val="00DD3855"/>
  </w:style>
  <w:style w:type="paragraph" w:styleId="Pieddepage">
    <w:name w:val="footer"/>
    <w:basedOn w:val="Normal"/>
    <w:link w:val="PieddepageCar"/>
    <w:uiPriority w:val="99"/>
    <w:unhideWhenUsed/>
    <w:rsid w:val="00DD38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D3855"/>
  </w:style>
  <w:style w:type="paragraph" w:styleId="Textedebulles">
    <w:name w:val="Balloon Text"/>
    <w:basedOn w:val="Normal"/>
    <w:link w:val="TextedebullesCar"/>
    <w:uiPriority w:val="99"/>
    <w:semiHidden/>
    <w:unhideWhenUsed/>
    <w:rsid w:val="00DD38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3855"/>
    <w:rPr>
      <w:rFonts w:ascii="Tahoma" w:hAnsi="Tahoma" w:cs="Tahoma"/>
      <w:sz w:val="16"/>
      <w:szCs w:val="16"/>
    </w:rPr>
  </w:style>
  <w:style w:type="character" w:customStyle="1" w:styleId="Titre3Car">
    <w:name w:val="Titre 3 Car"/>
    <w:basedOn w:val="Policepardfaut"/>
    <w:link w:val="Titre3"/>
    <w:uiPriority w:val="9"/>
    <w:rsid w:val="00E678DB"/>
    <w:rPr>
      <w:rFonts w:ascii="Arial" w:eastAsiaTheme="majorEastAsia" w:hAnsi="Arial" w:cstheme="majorBidi"/>
      <w:b/>
      <w:bCs/>
      <w:color w:val="000000" w:themeColor="text1"/>
      <w:sz w:val="24"/>
    </w:rPr>
  </w:style>
  <w:style w:type="paragraph" w:styleId="En-ttedetabledesmatires">
    <w:name w:val="TOC Heading"/>
    <w:basedOn w:val="Titre1"/>
    <w:next w:val="Normal"/>
    <w:uiPriority w:val="39"/>
    <w:semiHidden/>
    <w:unhideWhenUsed/>
    <w:qFormat/>
    <w:rsid w:val="00DD3855"/>
    <w:pPr>
      <w:jc w:val="left"/>
      <w:outlineLvl w:val="9"/>
    </w:pPr>
    <w:rPr>
      <w:rFonts w:asciiTheme="majorHAnsi" w:hAnsiTheme="majorHAnsi"/>
      <w:color w:val="365F91" w:themeColor="accent1" w:themeShade="BF"/>
      <w:sz w:val="28"/>
      <w:lang w:eastAsia="fr-CA"/>
    </w:rPr>
  </w:style>
  <w:style w:type="paragraph" w:styleId="TM1">
    <w:name w:val="toc 1"/>
    <w:basedOn w:val="Normal"/>
    <w:next w:val="Normal"/>
    <w:autoRedefine/>
    <w:uiPriority w:val="39"/>
    <w:unhideWhenUsed/>
    <w:rsid w:val="00DD3855"/>
    <w:pPr>
      <w:spacing w:after="100"/>
    </w:pPr>
  </w:style>
  <w:style w:type="paragraph" w:styleId="TM2">
    <w:name w:val="toc 2"/>
    <w:basedOn w:val="Normal"/>
    <w:next w:val="Normal"/>
    <w:autoRedefine/>
    <w:uiPriority w:val="39"/>
    <w:unhideWhenUsed/>
    <w:rsid w:val="00DD3855"/>
    <w:pPr>
      <w:spacing w:after="100"/>
      <w:ind w:left="220"/>
    </w:pPr>
  </w:style>
  <w:style w:type="character" w:styleId="Lienhypertexte">
    <w:name w:val="Hyperlink"/>
    <w:basedOn w:val="Policepardfaut"/>
    <w:uiPriority w:val="99"/>
    <w:unhideWhenUsed/>
    <w:rsid w:val="00DD3855"/>
    <w:rPr>
      <w:color w:val="0000FF" w:themeColor="hyperlink"/>
      <w:u w:val="single"/>
    </w:rPr>
  </w:style>
  <w:style w:type="paragraph" w:styleId="Paragraphedeliste">
    <w:name w:val="List Paragraph"/>
    <w:basedOn w:val="Normal"/>
    <w:uiPriority w:val="34"/>
    <w:qFormat/>
    <w:rsid w:val="005B18F1"/>
    <w:pPr>
      <w:ind w:left="720"/>
      <w:contextualSpacing/>
    </w:pPr>
  </w:style>
  <w:style w:type="table" w:styleId="Grilledutableau">
    <w:name w:val="Table Grid"/>
    <w:basedOn w:val="TableauNormal"/>
    <w:uiPriority w:val="59"/>
    <w:rsid w:val="005B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E678D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124">
      <w:bodyDiv w:val="1"/>
      <w:marLeft w:val="0"/>
      <w:marRight w:val="0"/>
      <w:marTop w:val="0"/>
      <w:marBottom w:val="0"/>
      <w:divBdr>
        <w:top w:val="none" w:sz="0" w:space="0" w:color="auto"/>
        <w:left w:val="none" w:sz="0" w:space="0" w:color="auto"/>
        <w:bottom w:val="none" w:sz="0" w:space="0" w:color="auto"/>
        <w:right w:val="none" w:sz="0" w:space="0" w:color="auto"/>
      </w:divBdr>
    </w:div>
    <w:div w:id="10537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C79D-8C10-47B7-A1AE-C597E9AE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1370</Words>
  <Characters>7540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dc:creator>
  <cp:lastModifiedBy>JOURNAL</cp:lastModifiedBy>
  <cp:revision>7</cp:revision>
  <dcterms:created xsi:type="dcterms:W3CDTF">2019-07-03T13:56:00Z</dcterms:created>
  <dcterms:modified xsi:type="dcterms:W3CDTF">2019-07-04T22:39:00Z</dcterms:modified>
</cp:coreProperties>
</file>